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85" w:after="85"/>
        <w:jc w:val="center"/>
        <w:rPr/>
      </w:pPr>
      <w:r>
        <w:rPr>
          <w:rFonts w:cs="Arial" w:ascii="Verdana" w:hAnsi="Verdana"/>
          <w:b/>
          <w:bCs/>
          <w:smallCaps/>
          <w:color w:val="000000"/>
          <w:sz w:val="20"/>
          <w:szCs w:val="20"/>
        </w:rPr>
        <w:t xml:space="preserve">EDITAL </w:t>
      </w:r>
    </w:p>
    <w:p>
      <w:pPr>
        <w:pStyle w:val="Normal"/>
        <w:spacing w:lineRule="auto" w:line="240" w:before="85" w:after="85"/>
        <w:jc w:val="center"/>
        <w:rPr/>
      </w:pPr>
      <w:r>
        <w:rPr>
          <w:rFonts w:cs="Arial" w:ascii="Verdana" w:hAnsi="Verdana"/>
          <w:b/>
          <w:bCs/>
          <w:smallCaps/>
          <w:color w:val="000000"/>
          <w:sz w:val="20"/>
          <w:szCs w:val="20"/>
        </w:rPr>
        <w:t>PREGÃO ELETRÔNICO Nº 062/2025</w:t>
      </w:r>
    </w:p>
    <w:p>
      <w:pPr>
        <w:pStyle w:val="Normal"/>
        <w:spacing w:lineRule="auto" w:line="240" w:before="85" w:after="85"/>
        <w:jc w:val="center"/>
        <w:rPr/>
      </w:pPr>
      <w:r>
        <w:rPr>
          <w:rFonts w:cs="Arial" w:ascii="Verdana" w:hAnsi="Verdana"/>
          <w:b/>
          <w:bCs/>
          <w:smallCaps/>
          <w:color w:val="000000"/>
          <w:sz w:val="20"/>
          <w:szCs w:val="20"/>
        </w:rPr>
        <w:t>(Processo Administrativo n° 6265/2025 de 28/08/2025)</w:t>
      </w:r>
    </w:p>
    <w:p>
      <w:pPr>
        <w:pStyle w:val="Normal"/>
        <w:spacing w:lineRule="auto" w:line="240" w:before="85" w:after="85"/>
        <w:jc w:val="center"/>
        <w:rPr>
          <w:rFonts w:ascii="Verdana" w:hAnsi="Verdana"/>
          <w:sz w:val="20"/>
          <w:szCs w:val="20"/>
        </w:rPr>
      </w:pPr>
      <w:r>
        <w:rPr>
          <w:rFonts w:ascii="Verdana" w:hAnsi="Verdana"/>
          <w:sz w:val="20"/>
          <w:szCs w:val="20"/>
        </w:rPr>
      </w:r>
    </w:p>
    <w:p>
      <w:pPr>
        <w:pStyle w:val="BodyText"/>
        <w:spacing w:lineRule="auto" w:line="240" w:before="85" w:after="85"/>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85" w:after="85"/>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85" w:after="85"/>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14/10</w:t>
      </w:r>
      <w:r>
        <w:rPr>
          <w:rFonts w:cs="Arial" w:ascii="Verdana" w:hAnsi="Verdana"/>
          <w:b/>
          <w:bCs/>
          <w:color w:val="000000"/>
          <w:sz w:val="20"/>
          <w:szCs w:val="20"/>
        </w:rPr>
        <w:t>/2025.</w:t>
      </w:r>
    </w:p>
    <w:p>
      <w:pPr>
        <w:pStyle w:val="Normal"/>
        <w:spacing w:lineRule="auto" w:line="240" w:before="85" w:after="85"/>
        <w:rPr/>
      </w:pPr>
      <w:r>
        <w:rPr>
          <w:rFonts w:cs="Arial" w:ascii="Verdana" w:hAnsi="Verdana"/>
          <w:b/>
          <w:bCs/>
          <w:color w:val="000000"/>
          <w:sz w:val="20"/>
          <w:szCs w:val="20"/>
        </w:rPr>
        <w:t>Horário: 08h00min.</w:t>
      </w:r>
    </w:p>
    <w:p>
      <w:pPr>
        <w:pStyle w:val="Normal"/>
        <w:spacing w:lineRule="auto" w:line="240" w:before="85" w:after="85"/>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85" w:after="85"/>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40" w:before="85" w:after="85"/>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85" w:after="85"/>
        <w:ind w:hanging="0" w:left="0"/>
        <w:rPr/>
      </w:pPr>
      <w:r>
        <w:rPr>
          <w:rFonts w:cs="Arial" w:ascii="Verdana" w:hAnsi="Verdana"/>
          <w:sz w:val="20"/>
          <w:szCs w:val="20"/>
        </w:rPr>
        <w:t>DO OBJETO</w:t>
      </w:r>
    </w:p>
    <w:p>
      <w:pPr>
        <w:pStyle w:val="ListParagraph"/>
        <w:spacing w:lineRule="auto" w:line="240" w:before="85" w:after="85"/>
        <w:ind w:hanging="0" w:left="0"/>
        <w:contextualSpacing w:val="false"/>
        <w:jc w:val="both"/>
        <w:rPr/>
      </w:pPr>
      <w:r>
        <w:rPr>
          <w:rFonts w:cs="Arial" w:ascii="Verdana" w:hAnsi="Verdana"/>
          <w:color w:val="000000"/>
          <w:sz w:val="20"/>
          <w:szCs w:val="20"/>
        </w:rPr>
        <w:t xml:space="preserve">1.1 </w:t>
      </w:r>
      <w:r>
        <w:rPr>
          <w:rFonts w:cs="Arial" w:ascii="Verdana" w:hAnsi="Verdana"/>
          <w:iCs/>
          <w:color w:themeColor="text1" w:val="000000"/>
          <w:sz w:val="20"/>
          <w:szCs w:val="20"/>
        </w:rPr>
        <w:t xml:space="preserve">O objeto da presente licitação é a </w:t>
      </w:r>
      <w:bookmarkStart w:id="1" w:name="_Hlk162947020"/>
      <w:r>
        <w:rPr>
          <w:rFonts w:cs="Arial" w:ascii="Verdana" w:hAnsi="Verdana"/>
          <w:iCs/>
          <w:color w:themeColor="text1" w:val="000000"/>
          <w:sz w:val="20"/>
          <w:szCs w:val="20"/>
        </w:rPr>
        <w:t xml:space="preserve">Constituição de Ata de Registro de Preços, </w:t>
      </w:r>
      <w:bookmarkEnd w:id="1"/>
      <w:r>
        <w:rPr>
          <w:rFonts w:cs="Arial" w:ascii="Verdana" w:hAnsi="Verdana"/>
          <w:iCs/>
          <w:color w:themeColor="text1" w:val="000000"/>
          <w:sz w:val="20"/>
          <w:szCs w:val="20"/>
        </w:rPr>
        <w:t xml:space="preserve">para futura e eventual </w:t>
      </w:r>
      <w:r>
        <w:rPr>
          <w:rStyle w:val="Fontepargpadro"/>
          <w:rFonts w:eastAsia="Batang" w:cs="Verdana" w:ascii="Verdana" w:hAnsi="Verdana"/>
          <w:b w:val="false"/>
          <w:bCs w:val="false"/>
          <w:iCs/>
          <w:color w:val="000000"/>
          <w:sz w:val="20"/>
          <w:szCs w:val="20"/>
        </w:rPr>
        <w:t>aquisi</w:t>
      </w:r>
      <w:r>
        <w:rPr>
          <w:rFonts w:eastAsia="Batang" w:cs="Verdana" w:ascii="Verdana" w:hAnsi="Verdana"/>
          <w:iCs/>
          <w:color w:val="000000"/>
          <w:sz w:val="20"/>
          <w:szCs w:val="20"/>
        </w:rPr>
        <w:t xml:space="preserve">ção de material de higiene e limpeza para uso na sede da Secretaria Municipal de Assistência Social e em seus equipamentos socioassistenciais, </w:t>
      </w:r>
      <w:r>
        <w:rPr>
          <w:rStyle w:val="Fontepargpadro"/>
          <w:rFonts w:eastAsia="Batang" w:cs="Verdana" w:ascii="Verdana" w:hAnsi="Verdana"/>
          <w:b w:val="false"/>
          <w:bCs w:val="false"/>
          <w:iCs/>
          <w:color w:val="000000"/>
          <w:sz w:val="20"/>
          <w:szCs w:val="20"/>
          <w:lang w:eastAsia="pt-BR"/>
        </w:rPr>
        <w:t>para um período de 12 meses</w:t>
      </w:r>
      <w:r>
        <w:rPr>
          <w:rFonts w:eastAsia="Batang" w:cs="Verdana" w:ascii="Verdana" w:hAnsi="Verdana"/>
          <w:color w:val="000000"/>
          <w:kern w:val="2"/>
          <w:sz w:val="20"/>
          <w:szCs w:val="20"/>
          <w:lang w:eastAsia="en-US" w:bidi="pt-BR"/>
        </w:rPr>
        <w:t>.</w:t>
      </w:r>
      <w:r>
        <w:rPr>
          <w:rFonts w:cs="Arial" w:ascii="Verdana" w:hAnsi="Verdana"/>
          <w:iCs/>
          <w:color w:themeColor="text1" w:val="000000"/>
          <w:sz w:val="20"/>
          <w:szCs w:val="20"/>
        </w:rPr>
        <w:t xml:space="preserve">, </w:t>
      </w:r>
      <w:r>
        <w:rPr>
          <w:rFonts w:eastAsia="Batang;바탕" w:cs="Arial" w:ascii="Verdana" w:hAnsi="Verdana"/>
          <w:iCs/>
          <w:color w:val="000000"/>
          <w:kern w:val="2"/>
          <w:sz w:val="20"/>
          <w:szCs w:val="20"/>
          <w:lang w:eastAsia="en-US" w:bidi="pt-BR"/>
        </w:rPr>
        <w:t>conforme c</w:t>
      </w:r>
      <w:r>
        <w:rPr>
          <w:rFonts w:cs="Arial" w:ascii="Verdana" w:hAnsi="Verdana"/>
          <w:iCs/>
          <w:color w:themeColor="text1" w:val="000000"/>
          <w:sz w:val="20"/>
          <w:szCs w:val="20"/>
        </w:rPr>
        <w:t>ondições, quantidades e exigências estabelecidas neste Edital e seus anexos.</w:t>
      </w:r>
    </w:p>
    <w:p>
      <w:pPr>
        <w:pStyle w:val="Normal"/>
        <w:spacing w:lineRule="auto" w:line="240" w:before="85" w:after="85"/>
        <w:jc w:val="both"/>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40" w:before="85" w:after="85"/>
        <w:jc w:val="both"/>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before="85" w:after="85"/>
        <w:jc w:val="both"/>
        <w:rPr/>
      </w:pPr>
      <w:r>
        <w:rPr>
          <w:rFonts w:eastAsia="Batang;바탕" w:cs="Arial" w:ascii="Verdana" w:hAnsi="Verdana"/>
          <w:b/>
          <w:bCs/>
          <w:sz w:val="20"/>
          <w:szCs w:val="20"/>
          <w:shd w:fill="FFFF00" w:val="clear"/>
        </w:rPr>
        <w:t xml:space="preserve">a) </w:t>
      </w:r>
      <w:r>
        <w:rPr>
          <w:rFonts w:eastAsia="Batang;바탕" w:cs="Arial" w:ascii="Verdana" w:hAnsi="Verdana"/>
          <w:sz w:val="20"/>
          <w:szCs w:val="20"/>
          <w:shd w:fill="FFFF00" w:val="clear"/>
        </w:rPr>
        <w:t>A licitação ocorrerá com exclusividade para microempresas ou empresas de pequeno porte.</w:t>
      </w:r>
    </w:p>
    <w:p>
      <w:pPr>
        <w:pStyle w:val="Normal"/>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pPr>
      <w:r>
        <w:rPr>
          <w:rFonts w:cs="Arial" w:ascii="Verdana" w:hAnsi="Verdana"/>
          <w:sz w:val="20"/>
          <w:szCs w:val="20"/>
        </w:rPr>
        <w:t xml:space="preserve">DO REGISTRO DE PREÇOS </w:t>
      </w:r>
    </w:p>
    <w:p>
      <w:pPr>
        <w:pStyle w:val="Normal"/>
        <w:spacing w:lineRule="auto" w:line="240" w:before="85" w:after="85"/>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40" w:before="0" w:after="0"/>
        <w:jc w:val="both"/>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pPr>
      <w:r>
        <w:rPr>
          <w:rFonts w:cs="Arial" w:ascii="Verdana" w:hAnsi="Verdana"/>
          <w:sz w:val="20"/>
          <w:szCs w:val="20"/>
        </w:rPr>
        <w:t>DO CREDENCIAMENTO</w:t>
      </w:r>
    </w:p>
    <w:p>
      <w:pPr>
        <w:pStyle w:val="Default"/>
        <w:spacing w:lineRule="auto" w:line="240" w:before="85" w:after="85"/>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85" w:after="85"/>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85" w:after="85"/>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85" w:after="85"/>
        <w:jc w:val="both"/>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spacing w:lineRule="auto" w:line="240" w:before="85" w:after="85"/>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85" w:after="85"/>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before="85" w:after="85"/>
        <w:jc w:val="both"/>
        <w:rPr>
          <w:rFonts w:ascii="Verdana" w:hAnsi="Verdana"/>
          <w:sz w:val="20"/>
          <w:szCs w:val="20"/>
        </w:rPr>
      </w:pPr>
      <w:r>
        <w:rPr>
          <w:rFonts w:ascii="Verdana" w:hAnsi="Verdana"/>
          <w:sz w:val="20"/>
          <w:szCs w:val="20"/>
        </w:rPr>
      </w:r>
    </w:p>
    <w:p>
      <w:pPr>
        <w:pStyle w:val="Nivel01"/>
        <w:numPr>
          <w:ilvl w:val="0"/>
          <w:numId w:val="2"/>
        </w:numPr>
        <w:spacing w:lineRule="auto" w:line="240" w:before="85" w:after="85"/>
        <w:ind w:hanging="0" w:left="0"/>
        <w:rPr/>
      </w:pPr>
      <w:r>
        <w:rPr>
          <w:rFonts w:cs="Arial" w:ascii="Verdana" w:hAnsi="Verdana"/>
          <w:sz w:val="20"/>
          <w:szCs w:val="20"/>
        </w:rPr>
        <w:t>DA PARTICIPAÇÃO NO PREGÃO.</w:t>
      </w:r>
    </w:p>
    <w:p>
      <w:pPr>
        <w:pStyle w:val="Normal"/>
        <w:spacing w:lineRule="auto" w:line="240" w:before="85" w:after="85"/>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85" w:after="85"/>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85" w:after="85"/>
        <w:jc w:val="both"/>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pacing w:lineRule="auto" w:line="240" w:before="85" w:after="85"/>
        <w:jc w:val="both"/>
        <w:rPr/>
      </w:pPr>
      <w:r>
        <w:rPr>
          <w:rStyle w:val="InternetLink"/>
          <w:rFonts w:cs="Arial" w:ascii="Verdana" w:hAnsi="Verdana"/>
          <w:b/>
          <w:bCs/>
          <w:iCs/>
          <w:color w:val="000000"/>
          <w:sz w:val="20"/>
          <w:szCs w:val="20"/>
          <w:u w:val="none"/>
          <w:shd w:fill="FFFF00" w:val="clear"/>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
          <w:rFonts w:cs="Arial" w:ascii="Verdana" w:hAnsi="Verdana"/>
          <w:b/>
          <w:bCs/>
          <w:iCs/>
          <w:color w:val="FF0000"/>
          <w:sz w:val="20"/>
          <w:szCs w:val="20"/>
          <w:u w:val="none"/>
          <w:shd w:fill="FFFF00" w:val="clear"/>
        </w:rPr>
        <w:t>2025</w:t>
      </w:r>
      <w:r>
        <w:rPr>
          <w:rStyle w:val="InternetLink"/>
          <w:rFonts w:cs="Arial" w:ascii="Verdana" w:hAnsi="Verdana"/>
          <w:b/>
          <w:bCs/>
          <w:iCs/>
          <w:color w:val="000000"/>
          <w:sz w:val="20"/>
          <w:szCs w:val="20"/>
          <w:u w:val="none"/>
          <w:shd w:fill="FFFF00" w:val="clear"/>
        </w:rPr>
        <w:t>, sob pena de perda do direito de gozo dos referidos benefícios.</w:t>
      </w:r>
    </w:p>
    <w:p>
      <w:pPr>
        <w:pStyle w:val="Normal"/>
        <w:snapToGrid w:val="false"/>
        <w:spacing w:lineRule="auto" w:line="240" w:before="85" w:after="85"/>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85" w:after="85"/>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before="85" w:after="85"/>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85" w:after="85"/>
        <w:jc w:val="both"/>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40" w:before="85" w:after="85"/>
        <w:jc w:val="both"/>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40" w:before="85" w:after="85"/>
        <w:jc w:val="both"/>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40" w:before="85" w:after="85"/>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85" w:after="85"/>
        <w:jc w:val="both"/>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40" w:before="85" w:after="85"/>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85" w:after="85"/>
        <w:jc w:val="both"/>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40" w:before="85" w:after="85"/>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85" w:after="85"/>
        <w:ind w:hanging="0" w:left="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85" w:after="85"/>
        <w:ind w:hanging="0" w:left="0"/>
        <w:rPr/>
      </w:pPr>
      <w:bookmarkStart w:id="7" w:name="art14§2"/>
      <w:bookmarkEnd w:id="7"/>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85" w:after="85"/>
        <w:ind w:hanging="0" w:left="0"/>
        <w:rPr/>
      </w:pPr>
      <w:bookmarkStart w:id="8" w:name="art14§3"/>
      <w:bookmarkEnd w:id="8"/>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before="85" w:after="85"/>
        <w:ind w:hanging="0" w:left="0"/>
        <w:rPr/>
      </w:pPr>
      <w:bookmarkStart w:id="9" w:name="art14§4"/>
      <w:bookmarkEnd w:id="9"/>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85" w:after="85"/>
        <w:ind w:hanging="0" w:left="0"/>
        <w:rPr/>
      </w:pPr>
      <w:bookmarkStart w:id="10" w:name="art14§5"/>
      <w:bookmarkEnd w:id="10"/>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0" w:after="0"/>
        <w:ind w:hanging="0" w:left="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sz w:val="20"/>
          <w:szCs w:val="20"/>
        </w:rPr>
      </w:pPr>
      <w:r>
        <w:rPr>
          <w:rFonts w:eastAsia="Segoe UI" w:cs="Arial" w:ascii="Verdana" w:hAnsi="Verdana"/>
          <w:bCs/>
          <w:color w:val="000000"/>
          <w:sz w:val="20"/>
          <w:szCs w:val="20"/>
        </w:rPr>
      </w:r>
    </w:p>
    <w:p>
      <w:pPr>
        <w:pStyle w:val="Nivel01"/>
        <w:numPr>
          <w:ilvl w:val="0"/>
          <w:numId w:val="2"/>
        </w:numPr>
        <w:spacing w:lineRule="auto" w:line="240" w:before="0" w:after="0"/>
        <w:ind w:hanging="0" w:left="0"/>
        <w:rPr/>
      </w:pPr>
      <w:r>
        <w:rPr>
          <w:rFonts w:cs="Arial" w:ascii="Verdana" w:hAnsi="Verdana"/>
          <w:sz w:val="20"/>
          <w:szCs w:val="20"/>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40" w:before="85" w:after="85"/>
        <w:ind w:hanging="0" w:lef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40" w:before="85" w:after="85"/>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40" w:before="85" w:after="85"/>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40" w:before="85" w:after="85"/>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40" w:before="85" w:after="85"/>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40" w:before="85" w:after="85"/>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40" w:before="85" w:after="85"/>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40" w:before="85" w:after="85"/>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before="85" w:after="85"/>
        <w:jc w:val="both"/>
        <w:rPr>
          <w:rFonts w:ascii="Verdana" w:hAnsi="Verdana"/>
          <w:sz w:val="20"/>
          <w:szCs w:val="20"/>
        </w:rPr>
      </w:pPr>
      <w:r>
        <w:rPr>
          <w:rFonts w:ascii="Verdana" w:hAnsi="Verdana"/>
          <w:sz w:val="20"/>
          <w:szCs w:val="20"/>
        </w:rPr>
      </w:r>
    </w:p>
    <w:p>
      <w:pPr>
        <w:pStyle w:val="Nivel01"/>
        <w:numPr>
          <w:ilvl w:val="0"/>
          <w:numId w:val="2"/>
        </w:numPr>
        <w:spacing w:lineRule="auto" w:line="240" w:before="85" w:after="85"/>
        <w:ind w:hanging="0" w:left="0"/>
        <w:rPr/>
      </w:pPr>
      <w:r>
        <w:rPr>
          <w:rFonts w:cs="Arial" w:ascii="Verdana" w:hAnsi="Verdana"/>
          <w:sz w:val="20"/>
          <w:szCs w:val="20"/>
        </w:rPr>
        <w:t>DO PREENCHIMENTO DA PROPOSTA</w:t>
      </w:r>
    </w:p>
    <w:p>
      <w:pPr>
        <w:pStyle w:val="Normal"/>
        <w:numPr>
          <w:ilvl w:val="1"/>
          <w:numId w:val="2"/>
        </w:numPr>
        <w:tabs>
          <w:tab w:val="clear" w:pos="708"/>
          <w:tab w:val="left" w:pos="450" w:leader="none"/>
        </w:tabs>
        <w:spacing w:lineRule="auto" w:line="240" w:before="85" w:after="85"/>
        <w:ind w:hanging="0" w:lef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before="85" w:after="85"/>
        <w:ind w:hanging="0" w:lef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before="85" w:after="85"/>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before="85" w:after="85"/>
        <w:ind w:hanging="0" w:lef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before="85" w:after="85"/>
        <w:ind w:hanging="0" w:lef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before="85" w:after="85"/>
        <w:ind w:hanging="0" w:lef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85" w:after="85"/>
        <w:ind w:hanging="0" w:lef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85" w:after="85"/>
        <w:ind w:hanging="0" w:lef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85" w:after="85"/>
        <w:ind w:hanging="0" w:lef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85" w:after="85"/>
        <w:ind w:hanging="0" w:left="0"/>
        <w:rPr/>
      </w:pPr>
      <w:r>
        <w:rPr>
          <w:rFonts w:ascii="Verdana" w:hAnsi="Verdana"/>
          <w:sz w:val="20"/>
          <w:szCs w:val="20"/>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85" w:after="85"/>
        <w:ind w:hanging="0" w:lef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85" w:after="85"/>
        <w:ind w:hanging="0" w:lef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85" w:after="85"/>
        <w:ind w:hanging="0" w:left="0"/>
        <w:contextualSpacing w:val="false"/>
        <w:jc w:val="both"/>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85" w:after="85"/>
        <w:ind w:hanging="0" w:left="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85" w:after="85"/>
        <w:ind w:hanging="0" w:left="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85" w:after="85"/>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85" w:after="85"/>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85" w:after="85"/>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85" w:after="85"/>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85" w:after="85"/>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85" w:after="85"/>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40" w:before="85" w:after="85"/>
        <w:ind w:hanging="0"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85" w:after="85"/>
        <w:ind w:hanging="0"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85" w:after="85"/>
        <w:ind w:hanging="0"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85" w:after="85"/>
        <w:ind w:hanging="0" w:left="0"/>
        <w:contextualSpacing w:val="false"/>
        <w:jc w:val="both"/>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before="85" w:after="85"/>
        <w:jc w:val="both"/>
        <w:rPr/>
      </w:pPr>
      <w:r>
        <w:rPr>
          <w:rFonts w:cs="Arial" w:ascii="Verdana" w:hAnsi="Verdana"/>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before="85" w:after="85"/>
        <w:jc w:val="both"/>
        <w:rPr/>
      </w:pPr>
      <w:r>
        <w:rPr>
          <w:rFonts w:ascii="Verdana" w:hAnsi="Verdana"/>
          <w:sz w:val="20"/>
          <w:szCs w:val="20"/>
        </w:rPr>
        <w:t xml:space="preserve">7.11 </w:t>
      </w:r>
      <w:bookmarkStart w:id="11"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pPr>
        <w:pStyle w:val="Default"/>
        <w:spacing w:lineRule="auto" w:line="240" w:before="85" w:after="85"/>
        <w:jc w:val="both"/>
        <w:rPr/>
      </w:pPr>
      <w:r>
        <w:rPr>
          <w:rFonts w:ascii="Verdana" w:hAnsi="Verdana"/>
          <w:sz w:val="20"/>
          <w:szCs w:val="20"/>
        </w:rPr>
        <w:t xml:space="preserve">7.12 </w:t>
      </w:r>
      <w:bookmarkStart w:id="12"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2"/>
    </w:p>
    <w:p>
      <w:pPr>
        <w:pStyle w:val="Default"/>
        <w:spacing w:lineRule="auto" w:line="240" w:before="85" w:after="85"/>
        <w:jc w:val="both"/>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before="85" w:after="85"/>
        <w:jc w:val="both"/>
        <w:rPr/>
      </w:pPr>
      <w:r>
        <w:rPr>
          <w:rFonts w:ascii="Verdana" w:hAnsi="Verdana"/>
          <w:sz w:val="20"/>
          <w:szCs w:val="20"/>
        </w:rPr>
        <w:t>7.14 Após o reinício previsto no item supra, os licitantes serão convocados para apresentar lances intermediários.</w:t>
      </w:r>
    </w:p>
    <w:p>
      <w:pPr>
        <w:pStyle w:val="Normal"/>
        <w:spacing w:lineRule="auto" w:line="240" w:before="85" w:after="85"/>
        <w:jc w:val="both"/>
        <w:rPr/>
      </w:pPr>
      <w:r>
        <w:rPr>
          <w:rFonts w:ascii="Verdana" w:hAnsi="Verdana"/>
          <w:sz w:val="20"/>
          <w:szCs w:val="20"/>
        </w:rPr>
        <w:t>7.15. Após o término dos prazos estabelecidos nos itens anteriores, o sistema ordenará os lances segundo a ordem crescente de valores.</w:t>
      </w:r>
    </w:p>
    <w:p>
      <w:pPr>
        <w:pStyle w:val="Normal"/>
        <w:spacing w:lineRule="auto" w:line="240" w:before="85" w:after="85"/>
        <w:jc w:val="both"/>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lineRule="auto" w:line="240" w:before="85" w:after="85"/>
        <w:jc w:val="both"/>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lineRule="auto" w:line="240" w:before="85" w:after="85"/>
        <w:jc w:val="both"/>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lineRule="auto" w:line="240" w:before="85" w:after="85"/>
        <w:jc w:val="both"/>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85" w:after="85"/>
        <w:jc w:val="both"/>
        <w:rPr/>
      </w:pPr>
      <w:r>
        <w:rPr>
          <w:rFonts w:cs="Arial" w:ascii="Verdana" w:hAnsi="Verdana"/>
          <w:color w:val="000000"/>
          <w:sz w:val="20"/>
          <w:szCs w:val="20"/>
        </w:rPr>
        <w:t>7.20 O Critério de julgamento adotado será o de menor preço, conforme definido neste Edital e seus anexos.</w:t>
      </w:r>
    </w:p>
    <w:p>
      <w:pPr>
        <w:pStyle w:val="Normal"/>
        <w:spacing w:lineRule="auto" w:line="240" w:before="85" w:after="85"/>
        <w:jc w:val="both"/>
        <w:rPr/>
      </w:pPr>
      <w:r>
        <w:rPr>
          <w:rFonts w:cs="Arial" w:ascii="Verdana" w:hAnsi="Verdana"/>
          <w:color w:val="000000"/>
          <w:sz w:val="20"/>
          <w:szCs w:val="20"/>
        </w:rPr>
        <w:t>7.21 Caso o licitante não apresente lances, concorrerá com o valor de sua proposta.</w:t>
      </w:r>
    </w:p>
    <w:p>
      <w:pPr>
        <w:pStyle w:val="Normal"/>
        <w:spacing w:lineRule="auto" w:line="240" w:before="85" w:after="85"/>
        <w:jc w:val="both"/>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85" w:after="85"/>
        <w:jc w:val="both"/>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85" w:after="85"/>
        <w:jc w:val="both"/>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85" w:after="85"/>
        <w:jc w:val="both"/>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85" w:after="85"/>
        <w:jc w:val="both"/>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85" w:after="85"/>
        <w:jc w:val="both"/>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lineRule="auto" w:line="240" w:before="85" w:after="85"/>
        <w:jc w:val="both"/>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85" w:after="85"/>
        <w:jc w:val="both"/>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85" w:after="85"/>
        <w:jc w:val="both"/>
        <w:rPr/>
      </w:pPr>
      <w:r>
        <w:rPr>
          <w:rFonts w:cs="Arial" w:ascii="Verdana" w:hAnsi="Verdana"/>
          <w:color w:val="000000"/>
          <w:sz w:val="20"/>
          <w:szCs w:val="20"/>
          <w:lang w:eastAsia="en-US"/>
        </w:rPr>
        <w:t>7.28.3 Por empresas brasileiras;</w:t>
      </w:r>
    </w:p>
    <w:p>
      <w:pPr>
        <w:pStyle w:val="Normal"/>
        <w:spacing w:lineRule="auto" w:line="240" w:before="85" w:after="85"/>
        <w:jc w:val="both"/>
        <w:rPr/>
      </w:pPr>
      <w:r>
        <w:rPr>
          <w:rFonts w:cs="Arial" w:ascii="Verdana" w:hAnsi="Verdana"/>
          <w:color w:val="000000"/>
          <w:sz w:val="20"/>
          <w:szCs w:val="20"/>
          <w:lang w:eastAsia="en-US"/>
        </w:rPr>
        <w:t>7.28.4 Por empresas que invistam em pesquisa e no desenvolvimento de tecnologia no País;</w:t>
      </w:r>
    </w:p>
    <w:p>
      <w:pPr>
        <w:pStyle w:val="Normal"/>
        <w:spacing w:lineRule="auto" w:line="240" w:before="85" w:after="85"/>
        <w:jc w:val="both"/>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85" w:after="85"/>
        <w:jc w:val="both"/>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85" w:after="85"/>
        <w:jc w:val="both"/>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85" w:after="85"/>
        <w:ind w:hanging="0" w:left="0"/>
        <w:contextualSpacing w:val="false"/>
        <w:jc w:val="both"/>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08"/>
          <w:tab w:val="left" w:pos="-12" w:leader="none"/>
        </w:tabs>
        <w:spacing w:lineRule="auto" w:line="240" w:before="85" w:after="85"/>
        <w:ind w:hanging="0" w:left="0"/>
        <w:contextualSpacing w:val="false"/>
        <w:jc w:val="both"/>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85" w:after="85"/>
        <w:ind w:hanging="0" w:left="0"/>
        <w:contextualSpacing w:val="false"/>
        <w:jc w:val="both"/>
        <w:rPr/>
      </w:pPr>
      <w:bookmarkStart w:id="13" w:name="_Hlk169708956"/>
      <w:r>
        <w:rPr>
          <w:rFonts w:cs="Arial" w:ascii="Verdana" w:hAnsi="Verdana"/>
          <w:color w:val="000000"/>
          <w:sz w:val="20"/>
          <w:szCs w:val="20"/>
        </w:rPr>
        <w:t>7.31 Após a negociação do preço, o Pregoeiro iniciará a fase de aceitação e julgamento da proposta.</w:t>
      </w:r>
      <w:bookmarkEnd w:id="13"/>
    </w:p>
    <w:p>
      <w:pPr>
        <w:pStyle w:val="ListParagraph"/>
        <w:tabs>
          <w:tab w:val="clear" w:pos="708"/>
          <w:tab w:val="left" w:pos="-12" w:leader="none"/>
        </w:tabs>
        <w:spacing w:lineRule="auto" w:line="240"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40" w:before="85" w:after="85"/>
        <w:ind w:hanging="0" w:left="0"/>
        <w:rPr/>
      </w:pPr>
      <w:r>
        <w:rPr>
          <w:rFonts w:cs="Arial" w:ascii="Verdana" w:hAnsi="Verdana"/>
          <w:sz w:val="20"/>
          <w:szCs w:val="20"/>
          <w:lang w:eastAsia="en-US"/>
        </w:rPr>
        <w:t>DA ACEITABILIDADE DA PROPOSTA VENCEDORA.</w:t>
      </w:r>
    </w:p>
    <w:p>
      <w:pPr>
        <w:pStyle w:val="ListParagraph"/>
        <w:numPr>
          <w:ilvl w:val="1"/>
          <w:numId w:val="2"/>
        </w:numPr>
        <w:tabs>
          <w:tab w:val="clear" w:pos="708"/>
          <w:tab w:val="left" w:pos="517" w:leader="none"/>
        </w:tabs>
        <w:spacing w:lineRule="auto" w:line="240" w:before="85" w:after="85"/>
        <w:ind w:hanging="0" w:left="0"/>
        <w:contextualSpacing w:val="false"/>
        <w:jc w:val="both"/>
        <w:rPr/>
      </w:pPr>
      <w:bookmarkStart w:id="14"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4"/>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85" w:after="85"/>
        <w:ind w:hanging="0" w:lef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85" w:after="85"/>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85" w:after="85"/>
        <w:jc w:val="both"/>
        <w:rPr/>
      </w:pPr>
      <w:r>
        <w:rPr>
          <w:rFonts w:ascii="Verdana" w:hAnsi="Verdana"/>
          <w:sz w:val="20"/>
          <w:szCs w:val="20"/>
        </w:rPr>
        <w:t>8.4.2 contenha vício insanável ou ilegalidade;</w:t>
      </w:r>
    </w:p>
    <w:p>
      <w:pPr>
        <w:pStyle w:val="Normal"/>
        <w:tabs>
          <w:tab w:val="clear" w:pos="708"/>
          <w:tab w:val="left" w:pos="517" w:leader="none"/>
        </w:tabs>
        <w:spacing w:lineRule="auto" w:line="240" w:before="85" w:after="85"/>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85" w:after="85"/>
        <w:ind w:hanging="0" w:left="0"/>
        <w:rPr/>
      </w:pPr>
      <w:r>
        <w:rPr>
          <w:rFonts w:ascii="Verdana" w:hAnsi="Verdana"/>
          <w:sz w:val="20"/>
          <w:szCs w:val="20"/>
        </w:rPr>
        <w:t xml:space="preserve">8.4.4 apresentar preços inexequíveis ou permanecerem acima do preço máximo definido para a contratação; </w:t>
      </w:r>
    </w:p>
    <w:p>
      <w:pPr>
        <w:pStyle w:val="Normal"/>
        <w:tabs>
          <w:tab w:val="clear" w:pos="708"/>
          <w:tab w:val="left" w:pos="517" w:leader="none"/>
        </w:tabs>
        <w:spacing w:lineRule="auto" w:line="240" w:before="85" w:after="85"/>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85" w:after="85"/>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85" w:after="85"/>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85" w:after="85"/>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85" w:after="85"/>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85" w:after="85"/>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85" w:after="85"/>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85" w:after="85"/>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85" w:after="85"/>
        <w:ind w:hanging="0" w:left="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85" w:after="85"/>
        <w:ind w:hanging="0" w:left="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85" w:after="85"/>
        <w:ind w:hanging="0" w:left="0"/>
        <w:contextualSpacing w:val="false"/>
        <w:jc w:val="both"/>
        <w:rPr/>
      </w:pPr>
      <w:r>
        <w:rPr>
          <w:rFonts w:cs="Arial" w:ascii="Verdana" w:hAnsi="Verdana"/>
          <w:sz w:val="20"/>
          <w:szCs w:val="20"/>
          <w:lang w:eastAsia="ar-SA"/>
        </w:rPr>
        <w:t>a) SICAF;</w:t>
      </w:r>
    </w:p>
    <w:p>
      <w:pPr>
        <w:pStyle w:val="ListParagraph"/>
        <w:spacing w:lineRule="auto" w:line="240" w:before="85" w:after="85"/>
        <w:ind w:hanging="0" w:left="0"/>
        <w:contextualSpacing w:val="false"/>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85" w:after="85"/>
        <w:ind w:hanging="0" w:left="0"/>
        <w:contextualSpacing w:val="false"/>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85" w:after="85"/>
        <w:ind w:hanging="0" w:left="0"/>
        <w:contextualSpacing w:val="false"/>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85" w:after="85"/>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85" w:after="85"/>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85" w:after="85"/>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85" w:after="85"/>
        <w:ind w:hanging="0" w:lef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85" w:after="85"/>
        <w:ind w:hanging="0"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85" w:after="85"/>
        <w:ind w:hanging="0"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85" w:after="85"/>
        <w:ind w:hanging="0"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85" w:after="85"/>
        <w:ind w:hanging="0"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85" w:after="85"/>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85" w:after="85"/>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85" w:after="85"/>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85" w:after="85"/>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85" w:after="85"/>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40" w:before="85" w:after="85"/>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85" w:after="85"/>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85" w:after="85"/>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85" w:after="85"/>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85" w:after="85"/>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85" w:after="85"/>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85" w:after="85"/>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85" w:after="85"/>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85" w:after="85"/>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85" w:after="85"/>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85" w:after="85"/>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85" w:after="85"/>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85" w:after="85"/>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85" w:after="85"/>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85" w:after="85"/>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85" w:after="85"/>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85" w:after="85"/>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85" w:after="85"/>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85" w:after="85"/>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85" w:after="85"/>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85" w:after="85"/>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85" w:after="85"/>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40" w:before="85" w:after="85"/>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40" w:before="85" w:after="85"/>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40" w:before="85" w:after="85"/>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40" w:before="85" w:after="85"/>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40" w:before="85" w:after="85"/>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40" w:before="85" w:after="85"/>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40" w:before="85" w:after="85"/>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40"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85" w:after="85"/>
        <w:ind w:hanging="0" w:left="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08"/>
          <w:tab w:val="left" w:pos="617" w:leader="none"/>
        </w:tabs>
        <w:spacing w:lineRule="auto" w:line="240" w:before="85" w:after="85"/>
        <w:ind w:hanging="0" w:lef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02 (duas) horas</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85" w:after="85"/>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85" w:after="85"/>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85" w:after="85"/>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85" w:after="85"/>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85" w:after="85"/>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85" w:after="85"/>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85" w:after="85"/>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85" w:after="85"/>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85" w:after="85"/>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85" w:after="85"/>
        <w:ind w:hanging="0" w:left="0"/>
        <w:rPr/>
      </w:pPr>
      <w:r>
        <w:rPr>
          <w:rFonts w:cs="Arial" w:ascii="Verdana" w:hAnsi="Verdana"/>
          <w:sz w:val="20"/>
          <w:szCs w:val="20"/>
          <w:lang w:eastAsia="en-US"/>
        </w:rPr>
        <w:t>DOS RECURSOS</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85" w:after="85"/>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85" w:after="85"/>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85" w:after="85"/>
        <w:ind w:hanging="0" w:lef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85" w:after="85"/>
        <w:ind w:hanging="0" w:left="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85" w:after="85"/>
        <w:ind w:hanging="0" w:left="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85" w:after="85"/>
        <w:ind w:hanging="0" w:left="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85" w:after="85"/>
        <w:ind w:hanging="0" w:left="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85" w:after="85"/>
        <w:ind w:hanging="0" w:left="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85" w:after="85"/>
        <w:ind w:hanging="0" w:left="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85" w:after="85"/>
        <w:ind w:hanging="0" w:left="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before="85" w:after="85"/>
        <w:rPr>
          <w:rFonts w:ascii="Verdana" w:hAnsi="Verdana" w:cs="Arial"/>
          <w:sz w:val="20"/>
          <w:szCs w:val="20"/>
        </w:rPr>
      </w:pPr>
      <w:r>
        <w:rPr>
          <w:rFonts w:cs="Arial" w:ascii="Verdana" w:hAnsi="Verdana"/>
          <w:sz w:val="20"/>
          <w:szCs w:val="20"/>
        </w:rPr>
      </w:r>
    </w:p>
    <w:p>
      <w:pPr>
        <w:pStyle w:val="Nivel01"/>
        <w:numPr>
          <w:ilvl w:val="0"/>
          <w:numId w:val="2"/>
        </w:numPr>
        <w:spacing w:lineRule="auto" w:line="240" w:before="85" w:after="85"/>
        <w:ind w:hanging="0" w:left="0"/>
        <w:rPr/>
      </w:pPr>
      <w:r>
        <w:rPr>
          <w:rFonts w:cs="Arial" w:ascii="Verdana" w:hAnsi="Verdana"/>
          <w:sz w:val="20"/>
          <w:szCs w:val="20"/>
        </w:rPr>
        <w:t xml:space="preserve">DA ADJUDICAÇÃO E HOMOLOGAÇÃO </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85" w:after="85"/>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ivel01"/>
        <w:numPr>
          <w:ilvl w:val="0"/>
          <w:numId w:val="2"/>
        </w:numPr>
        <w:spacing w:lineRule="auto" w:line="240" w:before="85" w:after="85"/>
        <w:ind w:hanging="0" w:left="0"/>
        <w:rPr/>
      </w:pPr>
      <w:r>
        <w:rPr>
          <w:rFonts w:cs="Arial" w:ascii="Verdana" w:hAnsi="Verdana"/>
          <w:color w:val="auto"/>
          <w:sz w:val="20"/>
          <w:szCs w:val="20"/>
        </w:rPr>
        <w:t xml:space="preserve">DA GARANTIA DE EXECUÇÃO </w:t>
      </w:r>
    </w:p>
    <w:p>
      <w:pPr>
        <w:pStyle w:val="ListParagraph"/>
        <w:numPr>
          <w:ilvl w:val="1"/>
          <w:numId w:val="2"/>
        </w:numPr>
        <w:spacing w:lineRule="auto" w:line="240" w:before="85" w:after="85"/>
        <w:ind w:hanging="0" w:lef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40" w:before="85" w:after="85"/>
        <w:ind w:hanging="0" w:lef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40" w:before="85" w:after="85"/>
        <w:ind w:hanging="0" w:lef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40" w:before="85" w:after="85"/>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40" w:before="85" w:after="85"/>
        <w:ind w:hanging="0" w:lef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40" w:before="85" w:after="85"/>
        <w:ind w:hanging="0" w:lef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40" w:before="85" w:after="85"/>
        <w:ind w:hanging="0" w:lef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40" w:before="85" w:after="85"/>
        <w:ind w:hanging="0" w:lef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40" w:before="85" w:after="85"/>
        <w:ind w:hanging="0" w:lef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40" w:before="85" w:after="85"/>
        <w:ind w:hanging="0" w:lef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85" w:after="85"/>
        <w:ind w:hanging="0" w:left="0"/>
        <w:rPr/>
      </w:pPr>
      <w:r>
        <w:rPr>
          <w:rFonts w:eastAsia="Segoe UI" w:cs="Arial" w:ascii="Verdana" w:hAnsi="Verdana"/>
          <w:bCs/>
          <w:color w:val="000000"/>
          <w:sz w:val="20"/>
          <w:szCs w:val="2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40" w:before="85" w:after="85"/>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40" w:before="85" w:after="85"/>
        <w:rPr/>
      </w:pPr>
      <w:r>
        <w:rPr>
          <w:rFonts w:cs="Arial" w:ascii="Verdana" w:hAnsi="Verdana"/>
          <w:sz w:val="20"/>
          <w:szCs w:val="20"/>
        </w:rPr>
        <w:t>16. DO REAJUSTAMENTO EM SENTIDO GERAL</w:t>
      </w:r>
    </w:p>
    <w:p>
      <w:pPr>
        <w:pStyle w:val="ListParagraph"/>
        <w:spacing w:lineRule="auto" w:line="240" w:before="85" w:after="85"/>
        <w:ind w:hanging="0" w:lef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85" w:after="85"/>
        <w:rPr/>
      </w:pPr>
      <w:r>
        <w:rPr>
          <w:rFonts w:cs="Arial" w:ascii="Verdana" w:hAnsi="Verdana"/>
          <w:sz w:val="20"/>
          <w:szCs w:val="20"/>
        </w:rPr>
        <w:t>17. DA ACEITAÇÃO DO OBJETO E DA FISCALIZAÇÃO</w:t>
      </w:r>
    </w:p>
    <w:p>
      <w:pPr>
        <w:pStyle w:val="ListParagraph"/>
        <w:spacing w:lineRule="auto" w:line="240" w:before="85" w:after="85"/>
        <w:ind w:hanging="0" w:left="0"/>
        <w:contextualSpacing w:val="false"/>
        <w:jc w:val="both"/>
        <w:rPr/>
      </w:pPr>
      <w:r>
        <w:rPr>
          <w:rFonts w:cs="Arial" w:ascii="Verdana" w:hAnsi="Verdana"/>
          <w:color w:val="000000"/>
          <w:sz w:val="20"/>
          <w:szCs w:val="20"/>
          <w:lang w:eastAsia="en-US"/>
        </w:rPr>
        <w:t>16.1 Os critérios de recebimento e aceitação do objeto e de fiscalização estão previstos no Termo de Referência e Minuta da Ata anexo a este edital.</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85" w:after="85"/>
        <w:rPr/>
      </w:pPr>
      <w:r>
        <w:rPr>
          <w:rFonts w:cs="Arial" w:ascii="Verdana" w:hAnsi="Verdana"/>
          <w:sz w:val="20"/>
          <w:szCs w:val="20"/>
          <w:lang w:eastAsia="en-US"/>
        </w:rPr>
        <w:t>18. DAS OBRIGAÇÕES DA CONTRATANTE E DA CONTRATADA</w:t>
      </w:r>
    </w:p>
    <w:p>
      <w:pPr>
        <w:pStyle w:val="ListParagraph"/>
        <w:spacing w:lineRule="auto" w:line="240" w:before="85" w:after="85"/>
        <w:ind w:hanging="0" w:left="0"/>
        <w:contextualSpacing w:val="false"/>
        <w:jc w:val="both"/>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85" w:after="85"/>
        <w:rPr/>
      </w:pPr>
      <w:r>
        <w:rPr>
          <w:rFonts w:cs="Tahoma" w:ascii="Verdana" w:hAnsi="Verdana"/>
          <w:color w:val="auto"/>
          <w:sz w:val="20"/>
          <w:szCs w:val="20"/>
        </w:rPr>
        <w:t>19</w:t>
      </w:r>
      <w:r>
        <w:rPr>
          <w:rFonts w:cs="Arial" w:ascii="Verdana" w:hAnsi="Verdana"/>
          <w:sz w:val="20"/>
          <w:szCs w:val="20"/>
        </w:rPr>
        <w:t>. DO PAGAMENTO</w:t>
      </w:r>
    </w:p>
    <w:p>
      <w:pPr>
        <w:pStyle w:val="ListParagraph"/>
        <w:spacing w:lineRule="auto" w:line="240" w:before="85" w:after="85"/>
        <w:ind w:hanging="0" w:left="0"/>
        <w:contextualSpacing w:val="false"/>
        <w:jc w:val="both"/>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85" w:after="85"/>
        <w:rPr/>
      </w:pPr>
      <w:r>
        <w:rPr>
          <w:rFonts w:cs="Arial" w:ascii="Verdana" w:hAnsi="Verdana"/>
          <w:sz w:val="20"/>
          <w:szCs w:val="20"/>
        </w:rPr>
        <w:t>20. DAS SANÇÕES ADMINISTRATIVAS.</w:t>
      </w:r>
    </w:p>
    <w:p>
      <w:pPr>
        <w:pStyle w:val="ListParagraph"/>
        <w:spacing w:lineRule="auto" w:line="240" w:before="85" w:after="85"/>
        <w:ind w:hanging="0" w:left="0"/>
        <w:contextualSpacing w:val="false"/>
        <w:jc w:val="both"/>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85" w:after="85"/>
        <w:jc w:val="both"/>
        <w:rPr/>
      </w:pPr>
      <w:r>
        <w:rPr>
          <w:rFonts w:cs="Arial" w:ascii="Verdana" w:hAnsi="Verdana"/>
          <w:sz w:val="20"/>
          <w:szCs w:val="20"/>
          <w:shd w:fill="FFFFFF" w:val="clear"/>
        </w:rPr>
        <w:t>20.1.1 D</w:t>
      </w:r>
      <w:bookmarkStart w:id="15"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5"/>
    </w:p>
    <w:p>
      <w:pPr>
        <w:pStyle w:val="Normal"/>
        <w:tabs>
          <w:tab w:val="clear" w:pos="708"/>
          <w:tab w:val="left" w:pos="850" w:leader="none"/>
          <w:tab w:val="left" w:pos="1440" w:leader="none"/>
        </w:tabs>
        <w:snapToGrid w:val="false"/>
        <w:spacing w:lineRule="auto" w:line="240" w:before="85" w:after="85"/>
        <w:jc w:val="both"/>
        <w:rPr/>
      </w:pPr>
      <w:r>
        <w:rPr>
          <w:rFonts w:cs="Arial" w:ascii="Verdana" w:hAnsi="Verdana"/>
          <w:sz w:val="20"/>
          <w:szCs w:val="20"/>
          <w:shd w:fill="FFFFFF" w:val="clear"/>
        </w:rPr>
        <w:t xml:space="preserve">20.1.2 </w:t>
      </w:r>
      <w:bookmarkStart w:id="16" w:name="_Ref114668108"/>
      <w:r>
        <w:rPr>
          <w:rFonts w:cs="Arial" w:ascii="Verdana" w:hAnsi="Verdana"/>
          <w:sz w:val="20"/>
          <w:szCs w:val="20"/>
          <w:shd w:fill="FFFFFF" w:val="clear"/>
        </w:rPr>
        <w:t>Salvo em decorrência de fato superveniente devidamente justificado, não mantiver a proposta em especial quando:</w:t>
      </w:r>
      <w:bookmarkEnd w:id="16"/>
    </w:p>
    <w:p>
      <w:pPr>
        <w:pStyle w:val="Normal"/>
        <w:tabs>
          <w:tab w:val="clear" w:pos="708"/>
          <w:tab w:val="left" w:pos="850" w:leader="none"/>
          <w:tab w:val="left" w:pos="1440" w:leader="none"/>
        </w:tabs>
        <w:snapToGrid w:val="false"/>
        <w:spacing w:lineRule="auto" w:line="240" w:before="85" w:after="85"/>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85" w:after="85"/>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85" w:after="85"/>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85" w:after="85"/>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85" w:after="85"/>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85" w:after="85"/>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85" w:after="85"/>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85" w:after="85"/>
        <w:jc w:val="both"/>
        <w:rPr/>
      </w:pPr>
      <w:r>
        <w:rPr>
          <w:rFonts w:ascii="Verdana" w:hAnsi="Verdana"/>
          <w:sz w:val="20"/>
          <w:szCs w:val="20"/>
        </w:rPr>
        <w:t>20.1.4 A</w:t>
      </w:r>
      <w:bookmarkStart w:id="17" w:name="_Ref114668249"/>
      <w:r>
        <w:rPr>
          <w:rFonts w:ascii="Verdana" w:hAnsi="Verdana"/>
          <w:sz w:val="20"/>
          <w:szCs w:val="20"/>
        </w:rPr>
        <w:t>presentar declaração ou documentação falsa exigida para o certame ou prestar declaração falsa durante a licitação</w:t>
      </w:r>
      <w:bookmarkEnd w:id="17"/>
    </w:p>
    <w:p>
      <w:pPr>
        <w:pStyle w:val="Normal"/>
        <w:spacing w:lineRule="auto" w:line="240" w:before="85" w:after="85"/>
        <w:jc w:val="both"/>
        <w:rPr/>
      </w:pPr>
      <w:r>
        <w:rPr>
          <w:rFonts w:ascii="Verdana" w:hAnsi="Verdana"/>
          <w:sz w:val="20"/>
          <w:szCs w:val="20"/>
        </w:rPr>
        <w:t>20.1.5 F</w:t>
      </w:r>
      <w:bookmarkStart w:id="18" w:name="_Ref114668245"/>
      <w:r>
        <w:rPr>
          <w:rFonts w:ascii="Verdana" w:hAnsi="Verdana"/>
          <w:sz w:val="20"/>
          <w:szCs w:val="20"/>
        </w:rPr>
        <w:t>raudar a licitação</w:t>
      </w:r>
      <w:bookmarkEnd w:id="18"/>
    </w:p>
    <w:p>
      <w:pPr>
        <w:pStyle w:val="Normal"/>
        <w:spacing w:lineRule="auto" w:line="240" w:before="85" w:after="85"/>
        <w:jc w:val="both"/>
        <w:rPr/>
      </w:pPr>
      <w:r>
        <w:rPr>
          <w:rFonts w:ascii="Verdana" w:hAnsi="Verdana"/>
          <w:sz w:val="20"/>
          <w:szCs w:val="20"/>
        </w:rPr>
        <w:t>20.1.6 C</w:t>
      </w:r>
      <w:bookmarkStart w:id="19" w:name="_Ref114668247"/>
      <w:r>
        <w:rPr>
          <w:rFonts w:ascii="Verdana" w:hAnsi="Verdana"/>
          <w:sz w:val="20"/>
          <w:szCs w:val="20"/>
        </w:rPr>
        <w:t>omportar-se de modo inidôneo ou cometer fraude de qualquer natureza, em especial quando:</w:t>
      </w:r>
      <w:bookmarkEnd w:id="19"/>
    </w:p>
    <w:p>
      <w:pPr>
        <w:pStyle w:val="Normal"/>
        <w:spacing w:lineRule="auto" w:line="240" w:before="85" w:after="85"/>
        <w:jc w:val="both"/>
        <w:rPr/>
      </w:pPr>
      <w:r>
        <w:rPr>
          <w:rFonts w:ascii="Verdana" w:hAnsi="Verdana"/>
          <w:sz w:val="20"/>
          <w:szCs w:val="20"/>
        </w:rPr>
        <w:t>20.1.6.1 Agir em conluio ou em desconformidade com a lei;</w:t>
      </w:r>
    </w:p>
    <w:p>
      <w:pPr>
        <w:pStyle w:val="Normal"/>
        <w:spacing w:lineRule="auto" w:line="240" w:before="85" w:after="85"/>
        <w:jc w:val="both"/>
        <w:rPr/>
      </w:pPr>
      <w:r>
        <w:rPr>
          <w:rFonts w:ascii="Verdana" w:hAnsi="Verdana"/>
          <w:sz w:val="20"/>
          <w:szCs w:val="20"/>
        </w:rPr>
        <w:t>20.1.6.2 Induzir deliberadamente a erro no julgamento;</w:t>
      </w:r>
    </w:p>
    <w:p>
      <w:pPr>
        <w:pStyle w:val="Normal"/>
        <w:spacing w:lineRule="auto" w:line="240" w:before="85" w:after="85"/>
        <w:jc w:val="both"/>
        <w:rPr/>
      </w:pPr>
      <w:r>
        <w:rPr>
          <w:rFonts w:ascii="Verdana" w:hAnsi="Verdana"/>
          <w:sz w:val="20"/>
          <w:szCs w:val="20"/>
        </w:rPr>
        <w:t>20.1.6.3 Apresentar amostra falsificada ou deteriorada;</w:t>
      </w:r>
    </w:p>
    <w:p>
      <w:pPr>
        <w:pStyle w:val="Normal"/>
        <w:spacing w:lineRule="auto" w:line="240" w:before="85" w:after="85"/>
        <w:jc w:val="both"/>
        <w:rPr/>
      </w:pPr>
      <w:r>
        <w:rPr>
          <w:rFonts w:ascii="Verdana" w:hAnsi="Verdana"/>
          <w:sz w:val="20"/>
          <w:szCs w:val="20"/>
        </w:rPr>
        <w:t>20.1.7 P</w:t>
      </w:r>
      <w:bookmarkStart w:id="20" w:name="_Ref114668251"/>
      <w:r>
        <w:rPr>
          <w:rFonts w:ascii="Verdana" w:hAnsi="Verdana"/>
          <w:sz w:val="20"/>
          <w:szCs w:val="20"/>
        </w:rPr>
        <w:t>raticar atos ilícitos com vistas a frustrar os objetivos da licitação</w:t>
      </w:r>
      <w:bookmarkEnd w:id="20"/>
    </w:p>
    <w:p>
      <w:pPr>
        <w:pStyle w:val="Normal"/>
        <w:spacing w:lineRule="auto" w:line="240" w:before="85" w:after="85"/>
        <w:jc w:val="both"/>
        <w:rPr/>
      </w:pPr>
      <w:r>
        <w:rPr>
          <w:rFonts w:ascii="Verdana" w:hAnsi="Verdana"/>
          <w:sz w:val="20"/>
          <w:szCs w:val="20"/>
        </w:rPr>
        <w:t>20.1.8 P</w:t>
      </w:r>
      <w:bookmarkStart w:id="21"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21"/>
    </w:p>
    <w:p>
      <w:pPr>
        <w:pStyle w:val="Nivel2"/>
        <w:numPr>
          <w:ilvl w:val="0"/>
          <w:numId w:val="0"/>
        </w:numPr>
        <w:spacing w:lineRule="auto" w:line="240" w:before="85" w:after="85"/>
        <w:ind w:hanging="0" w:lef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85" w:after="85"/>
        <w:ind w:hanging="0" w:left="0"/>
        <w:rPr/>
      </w:pPr>
      <w:r>
        <w:rPr>
          <w:rFonts w:ascii="Verdana" w:hAnsi="Verdana"/>
          <w:sz w:val="20"/>
          <w:szCs w:val="20"/>
        </w:rPr>
        <w:t>20.2.1 advertência;</w:t>
      </w:r>
    </w:p>
    <w:p>
      <w:pPr>
        <w:pStyle w:val="Nivel2"/>
        <w:numPr>
          <w:ilvl w:val="0"/>
          <w:numId w:val="0"/>
        </w:numPr>
        <w:spacing w:lineRule="auto" w:line="240" w:before="85" w:after="85"/>
        <w:ind w:hanging="0" w:left="0"/>
        <w:rPr/>
      </w:pPr>
      <w:r>
        <w:rPr>
          <w:rFonts w:ascii="Verdana" w:hAnsi="Verdana"/>
          <w:sz w:val="20"/>
          <w:szCs w:val="20"/>
        </w:rPr>
        <w:t>20.2.2 multa;</w:t>
      </w:r>
    </w:p>
    <w:p>
      <w:pPr>
        <w:pStyle w:val="Nivel2"/>
        <w:numPr>
          <w:ilvl w:val="0"/>
          <w:numId w:val="0"/>
        </w:numPr>
        <w:spacing w:lineRule="auto" w:line="240" w:before="85" w:after="85"/>
        <w:ind w:hanging="0" w:left="0"/>
        <w:rPr/>
      </w:pPr>
      <w:r>
        <w:rPr>
          <w:rFonts w:ascii="Verdana" w:hAnsi="Verdana"/>
          <w:sz w:val="20"/>
          <w:szCs w:val="20"/>
        </w:rPr>
        <w:t>20.2.3 impedimento de licitar e contratar e</w:t>
      </w:r>
    </w:p>
    <w:p>
      <w:pPr>
        <w:pStyle w:val="Nivel2"/>
        <w:numPr>
          <w:ilvl w:val="0"/>
          <w:numId w:val="0"/>
        </w:numPr>
        <w:spacing w:lineRule="auto" w:line="240" w:before="85" w:after="85"/>
        <w:ind w:hanging="0" w:left="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85" w:after="85"/>
        <w:ind w:hanging="0" w:left="0"/>
        <w:rPr/>
      </w:pPr>
      <w:r>
        <w:rPr>
          <w:rFonts w:ascii="Verdana" w:hAnsi="Verdana"/>
          <w:sz w:val="20"/>
          <w:szCs w:val="20"/>
        </w:rPr>
        <w:t>20.3 Na aplicação das sanções serão considerados:</w:t>
      </w:r>
    </w:p>
    <w:p>
      <w:pPr>
        <w:pStyle w:val="Nivel2"/>
        <w:numPr>
          <w:ilvl w:val="0"/>
          <w:numId w:val="0"/>
        </w:numPr>
        <w:spacing w:lineRule="auto" w:line="240" w:before="85" w:after="85"/>
        <w:ind w:hanging="0" w:left="0"/>
        <w:rPr/>
      </w:pPr>
      <w:r>
        <w:rPr>
          <w:rFonts w:ascii="Verdana" w:hAnsi="Verdana"/>
          <w:sz w:val="20"/>
          <w:szCs w:val="20"/>
        </w:rPr>
        <w:t>20.3.1 a natureza e a gravidade da infração cometida.</w:t>
      </w:r>
    </w:p>
    <w:p>
      <w:pPr>
        <w:pStyle w:val="Nivel2"/>
        <w:numPr>
          <w:ilvl w:val="0"/>
          <w:numId w:val="0"/>
        </w:numPr>
        <w:spacing w:lineRule="auto" w:line="240" w:before="85" w:after="85"/>
        <w:ind w:hanging="0" w:left="0"/>
        <w:rPr/>
      </w:pPr>
      <w:r>
        <w:rPr>
          <w:rFonts w:ascii="Verdana" w:hAnsi="Verdana"/>
          <w:sz w:val="20"/>
          <w:szCs w:val="20"/>
        </w:rPr>
        <w:t>20.3.2 as peculiaridades do caso concreto</w:t>
      </w:r>
    </w:p>
    <w:p>
      <w:pPr>
        <w:pStyle w:val="Nivel2"/>
        <w:numPr>
          <w:ilvl w:val="0"/>
          <w:numId w:val="0"/>
        </w:numPr>
        <w:spacing w:lineRule="auto" w:line="240" w:before="85" w:after="85"/>
        <w:ind w:hanging="0" w:left="0"/>
        <w:rPr/>
      </w:pPr>
      <w:r>
        <w:rPr>
          <w:rFonts w:ascii="Verdana" w:hAnsi="Verdana"/>
          <w:sz w:val="20"/>
          <w:szCs w:val="20"/>
        </w:rPr>
        <w:t>20.3.3 as circunstâncias agravantes ou atenuantes</w:t>
      </w:r>
    </w:p>
    <w:p>
      <w:pPr>
        <w:pStyle w:val="Nivel2"/>
        <w:numPr>
          <w:ilvl w:val="0"/>
          <w:numId w:val="0"/>
        </w:numPr>
        <w:spacing w:lineRule="auto" w:line="240" w:before="85" w:after="85"/>
        <w:ind w:hanging="0" w:left="0"/>
        <w:rPr/>
      </w:pPr>
      <w:r>
        <w:rPr>
          <w:rFonts w:ascii="Verdana" w:hAnsi="Verdana"/>
          <w:sz w:val="20"/>
          <w:szCs w:val="20"/>
        </w:rPr>
        <w:t>20.3.4 os danos que dela provierem para a Administração Pública</w:t>
      </w:r>
    </w:p>
    <w:p>
      <w:pPr>
        <w:pStyle w:val="Nivel2"/>
        <w:numPr>
          <w:ilvl w:val="0"/>
          <w:numId w:val="0"/>
        </w:numPr>
        <w:spacing w:lineRule="auto" w:line="240" w:before="85" w:after="85"/>
        <w:ind w:hanging="0" w:left="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40" w:before="85" w:after="85"/>
        <w:ind w:hanging="0" w:left="0"/>
        <w:rPr/>
      </w:pPr>
      <w:r>
        <w:rPr>
          <w:rFonts w:ascii="Verdana" w:hAnsi="Verdana"/>
          <w:sz w:val="20"/>
          <w:szCs w:val="20"/>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85" w:after="85"/>
        <w:ind w:hanging="0" w:left="0"/>
        <w:rPr/>
      </w:pPr>
      <w:r>
        <w:rPr>
          <w:rFonts w:ascii="Verdana" w:hAnsi="Verdana"/>
          <w:sz w:val="20"/>
          <w:szCs w:val="20"/>
        </w:rPr>
        <w:t xml:space="preserve">20.4.1 </w:t>
      </w:r>
      <w:bookmarkStart w:id="22" w:name="_Hlk113876035"/>
      <w:bookmarkStart w:id="23" w:name="_Hlk113876035_Copia_1"/>
      <w:r>
        <w:rPr>
          <w:rFonts w:ascii="Verdana" w:hAnsi="Verdana"/>
          <w:sz w:val="20"/>
          <w:szCs w:val="20"/>
        </w:rPr>
        <w:t>Para as infrações previstas nos itens 20.1.1, 20.1.2 e 20.1.3, a multa será de 5% do valor do contrato licitado.</w:t>
      </w:r>
      <w:bookmarkEnd w:id="22"/>
      <w:bookmarkEnd w:id="23"/>
    </w:p>
    <w:p>
      <w:pPr>
        <w:pStyle w:val="Nivel2"/>
        <w:numPr>
          <w:ilvl w:val="0"/>
          <w:numId w:val="0"/>
        </w:numPr>
        <w:spacing w:lineRule="auto" w:line="240" w:before="85" w:after="85"/>
        <w:ind w:hanging="0" w:left="0"/>
        <w:rPr/>
      </w:pPr>
      <w:r>
        <w:rPr>
          <w:rFonts w:ascii="Verdana" w:hAnsi="Verdana"/>
          <w:sz w:val="20"/>
          <w:szCs w:val="20"/>
        </w:rPr>
        <w:t>20.4.2 Para as infrações previstas nos itens 20.1.4, 20.1.5, 20.1.6, 20.1.7 e 20.1.8, a multa será de 15% do valor do contrato licitado.</w:t>
      </w:r>
    </w:p>
    <w:p>
      <w:pPr>
        <w:pStyle w:val="Nivel2"/>
        <w:numPr>
          <w:ilvl w:val="0"/>
          <w:numId w:val="0"/>
        </w:numPr>
        <w:spacing w:lineRule="auto" w:line="240" w:before="85" w:after="85"/>
        <w:ind w:hanging="0" w:left="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85" w:after="85"/>
        <w:ind w:hanging="0" w:left="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40" w:before="85" w:after="85"/>
        <w:ind w:hanging="0" w:left="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85" w:after="85"/>
        <w:ind w:hanging="0" w:lef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sz w:val="20"/>
          <w:szCs w:val="20"/>
          <w:rFonts w:ascii="Verdana" w:hAnsi="Verdana"/>
          <w:color w:val="000000"/>
        </w:rPr>
        <w:instrText xml:space="preserve"> HYPERLINK "http://www.planalto.gov.br/ccivil_03/_ato2019-2022/2021/lei/L14133.htm" \l "art156%C2%A75"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156, §5º, da Lei n.º 14.133/2021</w:t>
      </w:r>
      <w:r>
        <w:rPr>
          <w:rStyle w:val="ListLabel296"/>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40" w:before="85" w:after="85"/>
        <w:ind w:hanging="0" w:lef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6"/>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before="85" w:after="85"/>
        <w:ind w:hanging="0" w:left="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85" w:after="85"/>
        <w:ind w:hanging="0" w:left="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85" w:after="85"/>
        <w:ind w:hanging="0" w:left="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85" w:after="85"/>
        <w:ind w:hanging="0" w:left="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85" w:after="85"/>
        <w:ind w:hanging="0" w:left="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ListParagraph"/>
        <w:spacing w:lineRule="auto" w:line="240" w:before="85" w:after="85"/>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85" w:after="85"/>
        <w:rPr/>
      </w:pPr>
      <w:r>
        <w:rPr>
          <w:rFonts w:cs="Arial" w:ascii="Verdana" w:hAnsi="Verdana"/>
          <w:sz w:val="20"/>
          <w:szCs w:val="20"/>
        </w:rPr>
        <w:t>21. DA IMPUGNAÇÃO AO EDITAL E DO PEDIDO DE ESCLARECIMENTO</w:t>
      </w:r>
    </w:p>
    <w:p>
      <w:pPr>
        <w:pStyle w:val="ListParagraph"/>
        <w:spacing w:lineRule="auto" w:line="240" w:before="85" w:after="85"/>
        <w:ind w:hanging="0"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85" w:after="85"/>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85" w:after="85"/>
        <w:ind w:hanging="0"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85" w:after="85"/>
        <w:ind w:hanging="0"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85" w:after="85"/>
        <w:ind w:hanging="0"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85" w:after="85"/>
        <w:ind w:hanging="0"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85" w:after="85"/>
        <w:ind w:hanging="0"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85" w:after="85"/>
        <w:ind w:hanging="0"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85" w:after="85"/>
        <w:ind w:hanging="0"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85" w:after="85"/>
        <w:rPr/>
      </w:pPr>
      <w:r>
        <w:rPr>
          <w:rFonts w:cs="Arial" w:ascii="Verdana" w:hAnsi="Verdana"/>
          <w:sz w:val="20"/>
          <w:szCs w:val="20"/>
        </w:rPr>
        <w:t>22. DAS DISPOSIÇÕES GERAIS</w:t>
      </w:r>
    </w:p>
    <w:p>
      <w:pPr>
        <w:pStyle w:val="Normal"/>
        <w:spacing w:lineRule="auto" w:line="240" w:before="85" w:after="85"/>
        <w:jc w:val="both"/>
        <w:rPr/>
      </w:pPr>
      <w:r>
        <w:rPr>
          <w:rFonts w:cs="Arial" w:ascii="Verdana" w:hAnsi="Verdana"/>
          <w:color w:val="000000"/>
          <w:sz w:val="20"/>
          <w:szCs w:val="20"/>
        </w:rPr>
        <w:t>22.1 Da sessão pública do Pregão divulgar-se-á Ata no sistema eletrônico.</w:t>
      </w:r>
    </w:p>
    <w:p>
      <w:pPr>
        <w:pStyle w:val="Normal"/>
        <w:spacing w:lineRule="auto" w:line="240" w:before="85" w:after="85"/>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85" w:after="85"/>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85" w:after="85"/>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85" w:after="85"/>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40" w:before="85" w:after="85"/>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85" w:after="85"/>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85" w:after="85"/>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85" w:after="85"/>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85" w:after="85"/>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85" w:after="85"/>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4" w:name="_Hlk123138684_Copia_3"/>
      <w:r>
        <w:rPr>
          <w:rFonts w:cs="Arial" w:ascii="Verdana" w:hAnsi="Verdana"/>
          <w:color w:val="000000"/>
          <w:sz w:val="20"/>
          <w:szCs w:val="20"/>
          <w:u w:val="single"/>
        </w:rPr>
        <w:t>www.portaldecompraspublicas.com.br</w:t>
      </w:r>
      <w:bookmarkEnd w:id="24"/>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94"/>
            <w:rFonts w:ascii="Verdana" w:hAnsi="Verdana"/>
            <w:color w:val="000080"/>
            <w:sz w:val="20"/>
            <w:szCs w:val="20"/>
            <w:u w:val="single"/>
          </w:rPr>
          <w:t>licitacao@</w:t>
        </w:r>
      </w:hyperlink>
      <w:hyperlink r:id="rId12">
        <w:r>
          <w:rPr>
            <w:rStyle w:val="ListLabel294"/>
            <w:rFonts w:ascii="Verdana" w:hAnsi="Verdana"/>
            <w:color w:val="000080"/>
            <w:sz w:val="20"/>
            <w:szCs w:val="20"/>
            <w:u w:val="single"/>
          </w:rPr>
          <w:t>saogabriel</w:t>
        </w:r>
      </w:hyperlink>
      <w:hyperlink r:id="rId13">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85" w:after="85"/>
        <w:jc w:val="both"/>
        <w:rPr/>
      </w:pPr>
      <w:r>
        <w:rPr>
          <w:rFonts w:cs="Arial" w:ascii="Verdana" w:hAnsi="Verdana"/>
          <w:color w:val="000000"/>
          <w:sz w:val="20"/>
          <w:szCs w:val="20"/>
        </w:rPr>
        <w:t>22.12 Integram este Edital, para todos os fins e efeitos, os seguintes anexos</w:t>
      </w:r>
    </w:p>
    <w:p>
      <w:pPr>
        <w:pStyle w:val="Normal"/>
        <w:spacing w:lineRule="auto" w:line="240" w:before="85" w:after="85"/>
        <w:jc w:val="both"/>
        <w:rPr/>
      </w:pPr>
      <w:r>
        <w:rPr>
          <w:rFonts w:cs="Arial" w:ascii="Verdana" w:hAnsi="Verdana"/>
          <w:color w:val="000000"/>
          <w:sz w:val="20"/>
          <w:szCs w:val="20"/>
        </w:rPr>
        <w:t>22.12.1 ANEXO I – Termo de Referência;</w:t>
      </w:r>
    </w:p>
    <w:p>
      <w:pPr>
        <w:pStyle w:val="Normal"/>
        <w:spacing w:lineRule="auto" w:line="240" w:before="85" w:after="85"/>
        <w:jc w:val="both"/>
        <w:rPr/>
      </w:pPr>
      <w:r>
        <w:rPr>
          <w:rFonts w:cs="Arial" w:ascii="Verdana" w:hAnsi="Verdana"/>
          <w:color w:val="000000"/>
          <w:sz w:val="20"/>
          <w:szCs w:val="20"/>
        </w:rPr>
        <w:t>22.12.1.2 ANEXO I-1 – Estudo Técnico Preliminar;</w:t>
      </w:r>
    </w:p>
    <w:p>
      <w:pPr>
        <w:pStyle w:val="Normal"/>
        <w:spacing w:lineRule="auto" w:line="240" w:before="85" w:after="85"/>
        <w:jc w:val="both"/>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lineRule="auto" w:line="240" w:before="85" w:after="85"/>
        <w:jc w:val="both"/>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40" w:before="85" w:after="85"/>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before="85" w:after="85"/>
        <w:ind w:hanging="0" w:left="0"/>
        <w:jc w:val="center"/>
        <w:outlineLvl w:val="0"/>
        <w:rPr/>
      </w:pPr>
      <w:r>
        <w:rPr>
          <w:rFonts w:cs="Arial" w:ascii="Verdana" w:hAnsi="Verdana"/>
          <w:color w:val="000000"/>
          <w:sz w:val="20"/>
          <w:szCs w:val="20"/>
        </w:rPr>
        <w:t>São Gabriel da Palha/ES, 08 de setembro de 2025.</w:t>
      </w:r>
    </w:p>
    <w:p>
      <w:pPr>
        <w:pStyle w:val="Normal"/>
        <w:tabs>
          <w:tab w:val="clear" w:pos="708"/>
          <w:tab w:val="left" w:pos="1440" w:leader="none"/>
        </w:tabs>
        <w:snapToGrid w:val="false"/>
        <w:spacing w:lineRule="auto" w:line="240" w:before="85" w:after="85"/>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85" w:after="85"/>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40" w:before="85" w:after="85"/>
        <w:ind w:hanging="0" w:left="0"/>
        <w:jc w:val="center"/>
        <w:outlineLvl w:val="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40" w:before="85" w:after="85"/>
        <w:ind w:hanging="0" w:left="0"/>
        <w:jc w:val="center"/>
        <w:outlineLvl w:val="0"/>
        <w:rPr/>
      </w:pPr>
      <w:r>
        <w:rPr>
          <w:rFonts w:eastAsia="" w:cs="Arial" w:ascii="Verdana" w:hAnsi="Verdana" w:eastAsiaTheme="majorEastAsia"/>
          <w:b/>
          <w:bCs/>
          <w:color w:val="000000"/>
          <w:sz w:val="20"/>
          <w:szCs w:val="20"/>
        </w:rPr>
        <w:t>Secretária Municipal de Assistência, Desenvolvimento Social e Familia</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Wingdings">
    <w:charset w:val="00"/>
    <w:family w:val="roman"/>
    <w:pitch w:val="variable"/>
  </w:font>
  <w:font w:name="Courier New">
    <w:charset w:val="00"/>
    <w:family w:val="roman"/>
    <w:pitch w:val="variable"/>
  </w:font>
  <w:font w:name="Symbol">
    <w:charset w:val="00"/>
    <w:family w:val="roman"/>
    <w:pitch w:val="variable"/>
  </w:font>
  <w:font w:name="Verdan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Segoe U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rFonts w:ascii="Verdana" w:hAnsi="Verdana"/>
        <w:sz w:val="16"/>
        <w:szCs w:val="16"/>
      </w:rPr>
    </w:pPr>
    <w:r>
      <w:rPr>
        <w:rFonts w:ascii="Verdana" w:hAnsi="Verdana"/>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rFonts w:ascii="Verdana" w:hAnsi="Verdana"/>
        <w:sz w:val="16"/>
        <w:szCs w:val="16"/>
      </w:rPr>
    </w:pPr>
    <w:r>
      <w:rPr>
        <w:rFonts w:ascii="Verdana" w:hAnsi="Verdana"/>
        <w:sz w:val="16"/>
        <w:szCs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Fontepargpadro">
    <w:name w:val="Fonte parág. padrão"/>
    <w:qFormat/>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TextodecomentrioChar1">
    <w:name w:val="Texto de comentário Char1"/>
    <w:qFormat/>
    <w:rPr>
      <w:lang w:eastAsia="zh-CN"/>
    </w:rPr>
  </w:style>
  <w:style w:type="character" w:styleId="Refdecomentrio">
    <w:name w:val="Ref. de comentário"/>
    <w:qFormat/>
    <w:rPr>
      <w:sz w:val="16"/>
      <w:szCs w:val="16"/>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9z1">
    <w:name w:val="WW8Num29z1"/>
    <w:qFormat/>
    <w:rPr/>
  </w:style>
  <w:style w:type="character" w:styleId="Refdecomentrio1">
    <w:name w:val="Ref. de comentário1"/>
    <w:qFormat/>
    <w:rPr>
      <w:sz w:val="16"/>
      <w:szCs w:val="16"/>
    </w:rPr>
  </w:style>
  <w:style w:type="character" w:styleId="CorpoChar">
    <w:name w:val="Corpo Char"/>
    <w:qFormat/>
    <w:rPr>
      <w:color w:val="000000"/>
      <w:sz w:val="24"/>
      <w:lang w:bidi="ar-SA"/>
    </w:rPr>
  </w:style>
  <w:style w:type="character" w:styleId="Fontepargpadro1">
    <w:name w:val="Fonte parág. padrão1"/>
    <w:qFormat/>
    <w:rPr/>
  </w:style>
  <w:style w:type="character" w:styleId="WW8Num35z0">
    <w:name w:val="WW8Num35z0"/>
    <w:qFormat/>
    <w:rPr>
      <w:b/>
    </w:rPr>
  </w:style>
  <w:style w:type="character" w:styleId="WW8Num34z2">
    <w:name w:val="WW8Num34z2"/>
    <w:qFormat/>
    <w:rPr>
      <w:rFonts w:ascii="Wingdings" w:hAnsi="Wingdings" w:cs="Wingdings"/>
    </w:rPr>
  </w:style>
  <w:style w:type="character" w:styleId="WW8Num34z1">
    <w:name w:val="WW8Num34z1"/>
    <w:qFormat/>
    <w:rPr>
      <w:rFonts w:ascii="Courier New" w:hAnsi="Courier New" w:cs="Courier New"/>
    </w:rPr>
  </w:style>
  <w:style w:type="character" w:styleId="WW8Num34z0">
    <w:name w:val="WW8Num34z0"/>
    <w:qFormat/>
    <w:rPr>
      <w:rFonts w:ascii="Symbol" w:hAnsi="Symbol" w:cs="Symbol"/>
    </w:rPr>
  </w:style>
  <w:style w:type="character" w:styleId="WW8Num33z8">
    <w:name w:val="WW8Num33z8"/>
    <w:qFormat/>
    <w:rPr/>
  </w:style>
  <w:style w:type="character" w:styleId="WW8Num33z7">
    <w:name w:val="WW8Num33z7"/>
    <w:qFormat/>
    <w:rPr/>
  </w:style>
  <w:style w:type="character" w:styleId="WW8Num33z6">
    <w:name w:val="WW8Num33z6"/>
    <w:qFormat/>
    <w:rPr/>
  </w:style>
  <w:style w:type="character" w:styleId="WW8Num33z5">
    <w:name w:val="WW8Num33z5"/>
    <w:qFormat/>
    <w:rPr/>
  </w:style>
  <w:style w:type="character" w:styleId="WW8Num33z4">
    <w:name w:val="WW8Num33z4"/>
    <w:qFormat/>
    <w:rPr/>
  </w:style>
  <w:style w:type="character" w:styleId="WW8Num33z3">
    <w:name w:val="WW8Num33z3"/>
    <w:qFormat/>
    <w:rPr/>
  </w:style>
  <w:style w:type="character" w:styleId="WW8Num33z2">
    <w:name w:val="WW8Num33z2"/>
    <w:qFormat/>
    <w:rPr/>
  </w:style>
  <w:style w:type="character" w:styleId="WW8Num33z1">
    <w:name w:val="WW8Num33z1"/>
    <w:qFormat/>
    <w:rPr/>
  </w:style>
  <w:style w:type="character" w:styleId="WW8Num33z0">
    <w:name w:val="WW8Num33z0"/>
    <w:qFormat/>
    <w:rPr>
      <w:b/>
    </w:rPr>
  </w:style>
  <w:style w:type="character" w:styleId="WW8Num32z8">
    <w:name w:val="WW8Num32z8"/>
    <w:qFormat/>
    <w:rPr/>
  </w:style>
  <w:style w:type="character" w:styleId="WW8Num32z7">
    <w:name w:val="WW8Num32z7"/>
    <w:qFormat/>
    <w:rPr/>
  </w:style>
  <w:style w:type="character" w:styleId="WW8Num32z6">
    <w:name w:val="WW8Num32z6"/>
    <w:qFormat/>
    <w:rPr/>
  </w:style>
  <w:style w:type="character" w:styleId="WW8Num32z5">
    <w:name w:val="WW8Num32z5"/>
    <w:qFormat/>
    <w:rPr/>
  </w:style>
  <w:style w:type="character" w:styleId="WW8Num32z4">
    <w:name w:val="WW8Num32z4"/>
    <w:qFormat/>
    <w:rPr/>
  </w:style>
  <w:style w:type="character" w:styleId="WW8Num32z3">
    <w:name w:val="WW8Num32z3"/>
    <w:qFormat/>
    <w:rPr/>
  </w:style>
  <w:style w:type="character" w:styleId="WW8Num32z2">
    <w:name w:val="WW8Num32z2"/>
    <w:qFormat/>
    <w:rPr/>
  </w:style>
  <w:style w:type="character" w:styleId="WW8Num32z1">
    <w:name w:val="WW8Num32z1"/>
    <w:qFormat/>
    <w:rPr/>
  </w:style>
  <w:style w:type="character" w:styleId="WW8Num32z0">
    <w:name w:val="WW8Num32z0"/>
    <w:qFormat/>
    <w:rPr>
      <w:rFonts w:ascii="Arial" w:hAnsi="Arial" w:cs="Arial"/>
      <w:b/>
      <w:bCs/>
      <w:iCs/>
      <w:sz w:val="20"/>
      <w:szCs w:val="20"/>
    </w:rPr>
  </w:style>
  <w:style w:type="character" w:styleId="WW8Num31z8">
    <w:name w:val="WW8Num31z8"/>
    <w:qFormat/>
    <w:rPr/>
  </w:style>
  <w:style w:type="character" w:styleId="WW8Num31z7">
    <w:name w:val="WW8Num31z7"/>
    <w:qFormat/>
    <w:rPr/>
  </w:style>
  <w:style w:type="character" w:styleId="WW8Num31z6">
    <w:name w:val="WW8Num31z6"/>
    <w:qFormat/>
    <w:rPr/>
  </w:style>
  <w:style w:type="character" w:styleId="WW8Num31z5">
    <w:name w:val="WW8Num31z5"/>
    <w:qFormat/>
    <w:rPr/>
  </w:style>
  <w:style w:type="character" w:styleId="WW8Num31z4">
    <w:name w:val="WW8Num31z4"/>
    <w:qFormat/>
    <w:rPr/>
  </w:style>
  <w:style w:type="character" w:styleId="WW8Num31z3">
    <w:name w:val="WW8Num31z3"/>
    <w:qFormat/>
    <w:rPr/>
  </w:style>
  <w:style w:type="character" w:styleId="WW8Num31z2">
    <w:name w:val="WW8Num31z2"/>
    <w:qFormat/>
    <w:rPr/>
  </w:style>
  <w:style w:type="character" w:styleId="WW8Num31z1">
    <w:name w:val="WW8Num31z1"/>
    <w:qFormat/>
    <w:rPr/>
  </w:style>
  <w:style w:type="character" w:styleId="WW8Num31z0">
    <w:name w:val="WW8Num31z0"/>
    <w:qFormat/>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3">
    <w:name w:val="WW8Num30z3"/>
    <w:qFormat/>
    <w:rPr/>
  </w:style>
  <w:style w:type="character" w:styleId="WW8Num30z2">
    <w:name w:val="WW8Num30z2"/>
    <w:qFormat/>
    <w:rPr/>
  </w:style>
  <w:style w:type="character" w:styleId="WW8Num30z1">
    <w:name w:val="WW8Num30z1"/>
    <w:qFormat/>
    <w:rPr/>
  </w:style>
  <w:style w:type="character" w:styleId="WW8Num30z0">
    <w:name w:val="WW8Num30z0"/>
    <w:qFormat/>
    <w:rPr>
      <w:rFonts w:ascii="Arial" w:hAnsi="Arial" w:cs="Arial"/>
      <w:b/>
      <w:i w:val="false"/>
      <w:spacing w:val="0"/>
      <w:kern w:val="2"/>
      <w:sz w:val="20"/>
      <w:szCs w:val="20"/>
    </w:rPr>
  </w:style>
  <w:style w:type="character" w:styleId="WW8Num29z2">
    <w:name w:val="WW8Num29z2"/>
    <w:qFormat/>
    <w:rPr>
      <w:b/>
    </w:rPr>
  </w:style>
  <w:style w:type="character" w:styleId="WW8Num29z0">
    <w:name w:val="WW8Num29z0"/>
    <w:qFormat/>
    <w:rPr/>
  </w:style>
  <w:style w:type="character" w:styleId="WW8Num28z8">
    <w:name w:val="WW8Num28z8"/>
    <w:qFormat/>
    <w:rPr/>
  </w:style>
  <w:style w:type="character" w:styleId="WW8Num28z7">
    <w:name w:val="WW8Num28z7"/>
    <w:qFormat/>
    <w:rPr/>
  </w:style>
  <w:style w:type="character" w:styleId="WW8Num28z6">
    <w:name w:val="WW8Num28z6"/>
    <w:qFormat/>
    <w:rPr/>
  </w:style>
  <w:style w:type="character" w:styleId="WW8Num28z5">
    <w:name w:val="WW8Num28z5"/>
    <w:qFormat/>
    <w:rPr/>
  </w:style>
  <w:style w:type="character" w:styleId="WW8Num28z4">
    <w:name w:val="WW8Num28z4"/>
    <w:qFormat/>
    <w:rPr/>
  </w:style>
  <w:style w:type="character" w:styleId="WW8Num28z3">
    <w:name w:val="WW8Num28z3"/>
    <w:qFormat/>
    <w:rPr/>
  </w:style>
  <w:style w:type="character" w:styleId="WW8Num28z2">
    <w:name w:val="WW8Num28z2"/>
    <w:qFormat/>
    <w:rPr/>
  </w:style>
  <w:style w:type="character" w:styleId="WW8Num28z1">
    <w:name w:val="WW8Num28z1"/>
    <w:qFormat/>
    <w:rPr/>
  </w:style>
  <w:style w:type="character" w:styleId="WW8Num28z0">
    <w:name w:val="WW8Num28z0"/>
    <w:qFormat/>
    <w:rPr>
      <w:b/>
    </w:rPr>
  </w:style>
  <w:style w:type="character" w:styleId="WW8Num27z8">
    <w:name w:val="WW8Num27z8"/>
    <w:qFormat/>
    <w:rPr/>
  </w:style>
  <w:style w:type="character" w:styleId="WW8Num27z7">
    <w:name w:val="WW8Num27z7"/>
    <w:qFormat/>
    <w:rPr/>
  </w:style>
  <w:style w:type="character" w:styleId="WW8Num27z6">
    <w:name w:val="WW8Num27z6"/>
    <w:qFormat/>
    <w:rPr/>
  </w:style>
  <w:style w:type="character" w:styleId="WW8Num27z5">
    <w:name w:val="WW8Num27z5"/>
    <w:qFormat/>
    <w:rPr/>
  </w:style>
  <w:style w:type="character" w:styleId="WW8Num27z4">
    <w:name w:val="WW8Num27z4"/>
    <w:qFormat/>
    <w:rPr/>
  </w:style>
  <w:style w:type="character" w:styleId="WW8Num27z3">
    <w:name w:val="WW8Num27z3"/>
    <w:qFormat/>
    <w:rPr/>
  </w:style>
  <w:style w:type="character" w:styleId="WW8Num27z2">
    <w:name w:val="WW8Num27z2"/>
    <w:qFormat/>
    <w:rPr/>
  </w:style>
  <w:style w:type="character" w:styleId="WW8Num27z1">
    <w:name w:val="WW8Num27z1"/>
    <w:qFormat/>
    <w:rPr/>
  </w:style>
  <w:style w:type="character" w:styleId="WW8Num27z0">
    <w:name w:val="WW8Num27z0"/>
    <w:qFormat/>
    <w:rPr>
      <w:rFonts w:ascii="Arial" w:hAnsi="Arial" w:cs="Arial"/>
      <w:b/>
      <w:i w:val="false"/>
      <w:color w:val="000000"/>
      <w:sz w:val="20"/>
      <w:szCs w:val="24"/>
    </w:rPr>
  </w:style>
  <w:style w:type="character" w:styleId="WW8Num26z0">
    <w:name w:val="WW8Num26z0"/>
    <w:qFormat/>
    <w:rPr>
      <w:rFonts w:ascii="Arial" w:hAnsi="Arial" w:cs="Arial"/>
      <w:b/>
      <w:i w:val="false"/>
      <w:sz w:val="20"/>
      <w:szCs w:val="24"/>
      <w:u w:val="none"/>
    </w:rPr>
  </w:style>
  <w:style w:type="character" w:styleId="WW8Num25z2">
    <w:name w:val="WW8Num25z2"/>
    <w:qFormat/>
    <w:rPr>
      <w:rFonts w:ascii="Wingdings" w:hAnsi="Wingdings" w:cs="Wingdings"/>
    </w:rPr>
  </w:style>
  <w:style w:type="character" w:styleId="WW8Num25z1">
    <w:name w:val="WW8Num25z1"/>
    <w:qFormat/>
    <w:rPr>
      <w:rFonts w:ascii="Courier New" w:hAnsi="Courier New" w:cs="Courier New"/>
    </w:rPr>
  </w:style>
  <w:style w:type="character" w:styleId="WW8Num25z0">
    <w:name w:val="WW8Num25z0"/>
    <w:qFormat/>
    <w:rPr>
      <w:rFonts w:ascii="Symbol" w:hAnsi="Symbol" w:cs="Symbol"/>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4z3">
    <w:name w:val="WW8Num24z3"/>
    <w:qFormat/>
    <w:rPr/>
  </w:style>
  <w:style w:type="character" w:styleId="WW8Num24z2">
    <w:name w:val="WW8Num24z2"/>
    <w:qFormat/>
    <w:rPr/>
  </w:style>
  <w:style w:type="character" w:styleId="WW8Num24z1">
    <w:name w:val="WW8Num24z1"/>
    <w:qFormat/>
    <w:rPr/>
  </w:style>
  <w:style w:type="character" w:styleId="WW8Num24z0">
    <w:name w:val="WW8Num24z0"/>
    <w:qFormat/>
    <w:rPr>
      <w:rFonts w:ascii="Arial" w:hAnsi="Arial" w:cs="Arial"/>
      <w:b/>
      <w:i w:val="false"/>
      <w:spacing w:val="0"/>
      <w:kern w:val="2"/>
      <w:sz w:val="20"/>
      <w:szCs w:val="20"/>
    </w:rPr>
  </w:style>
  <w:style w:type="character" w:styleId="WW8Num23z0">
    <w:name w:val="WW8Num23z0"/>
    <w:qFormat/>
    <w:rPr>
      <w:rFonts w:ascii="Arial" w:hAnsi="Arial" w:cs="Times New Roman"/>
      <w:b/>
      <w:i w:val="false"/>
      <w:strike w:val="false"/>
      <w:dstrike w:val="false"/>
      <w:sz w:val="20"/>
      <w:szCs w:val="24"/>
      <w:u w:val="none"/>
    </w:rPr>
  </w:style>
  <w:style w:type="character" w:styleId="WW8Num22z1">
    <w:name w:val="WW8Num22z1"/>
    <w:qFormat/>
    <w:rPr>
      <w:b/>
    </w:rPr>
  </w:style>
  <w:style w:type="character" w:styleId="WW8Num22z0">
    <w:name w:val="WW8Num22z0"/>
    <w:qFormat/>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2">
    <w:name w:val="WW8Num21z2"/>
    <w:qFormat/>
    <w:rPr/>
  </w:style>
  <w:style w:type="character" w:styleId="WW8Num21z1">
    <w:name w:val="WW8Num21z1"/>
    <w:qFormat/>
    <w:rPr/>
  </w:style>
  <w:style w:type="character" w:styleId="WW8Num21z0">
    <w:name w:val="WW8Num21z0"/>
    <w:qFormat/>
    <w:rPr/>
  </w:style>
  <w:style w:type="character" w:styleId="WW8Num20z1">
    <w:name w:val="WW8Num20z1"/>
    <w:qFormat/>
    <w:rPr>
      <w:b/>
      <w:sz w:val="20"/>
      <w:szCs w:val="20"/>
    </w:rPr>
  </w:style>
  <w:style w:type="character" w:styleId="WW8Num20z0">
    <w:name w:val="WW8Num20z0"/>
    <w:qFormat/>
    <w:rPr>
      <w:b/>
    </w:rPr>
  </w:style>
  <w:style w:type="character" w:styleId="WW8Num19z1">
    <w:name w:val="WW8Num19z1"/>
    <w:qFormat/>
    <w:rPr>
      <w:b/>
    </w:rPr>
  </w:style>
  <w:style w:type="character" w:styleId="WW8Num19z0">
    <w:name w:val="WW8Num19z0"/>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5">
    <w:name w:val="WW8Num18z5"/>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8z1">
    <w:name w:val="WW8Num18z1"/>
    <w:qFormat/>
    <w:rPr/>
  </w:style>
  <w:style w:type="character" w:styleId="WW8Num18z0">
    <w:name w:val="WW8Num18z0"/>
    <w:qFormat/>
    <w:rPr/>
  </w:style>
  <w:style w:type="character" w:styleId="WW8Num17z1">
    <w:name w:val="WW8Num17z1"/>
    <w:qFormat/>
    <w:rPr>
      <w:rFonts w:ascii="Calibri" w:hAnsi="Calibri" w:cs="Calibri"/>
      <w:b/>
      <w:i w:val="false"/>
      <w:color w:val="000000"/>
      <w:sz w:val="22"/>
      <w:szCs w:val="22"/>
    </w:rPr>
  </w:style>
  <w:style w:type="character" w:styleId="WW8Num17z0">
    <w:name w:val="WW8Num17z0"/>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5">
    <w:name w:val="WW8Num16z5"/>
    <w:qFormat/>
    <w:rPr/>
  </w:style>
  <w:style w:type="character" w:styleId="WW8Num16z4">
    <w:name w:val="WW8Num16z4"/>
    <w:qFormat/>
    <w:rPr/>
  </w:style>
  <w:style w:type="character" w:styleId="WW8Num16z3">
    <w:name w:val="WW8Num16z3"/>
    <w:qFormat/>
    <w:rPr/>
  </w:style>
  <w:style w:type="character" w:styleId="WW8Num16z2">
    <w:name w:val="WW8Num16z2"/>
    <w:qFormat/>
    <w:rPr/>
  </w:style>
  <w:style w:type="character" w:styleId="WW8Num16z1">
    <w:name w:val="WW8Num16z1"/>
    <w:qFormat/>
    <w:rPr/>
  </w:style>
  <w:style w:type="character" w:styleId="WW8Num16z0">
    <w:name w:val="WW8Num16z0"/>
    <w:qFormat/>
    <w:rPr>
      <w:rFonts w:ascii="Arial" w:hAnsi="Arial" w:cs="Arial"/>
      <w:b/>
      <w:i w:val="false"/>
      <w:spacing w:val="0"/>
      <w:w w:val="100"/>
      <w:kern w:val="0"/>
      <w:sz w:val="20"/>
      <w:szCs w:val="24"/>
    </w:rPr>
  </w:style>
  <w:style w:type="character" w:styleId="WW8Num15z0">
    <w:name w:val="WW8Num15z0"/>
    <w:qFormat/>
    <w:rPr>
      <w:rFonts w:cs="Times New Roman"/>
      <w:b/>
    </w:rPr>
  </w:style>
  <w:style w:type="character" w:styleId="WW8Num14z1">
    <w:name w:val="WW8Num14z1"/>
    <w:qFormat/>
    <w:rPr/>
  </w:style>
  <w:style w:type="character" w:styleId="WW8Num14z0">
    <w:name w:val="WW8Num14z0"/>
    <w:qFormat/>
    <w:rPr>
      <w:rFonts w:ascii="Arial" w:hAnsi="Arial" w:cs="Arial"/>
      <w:b/>
      <w:i w:val="false"/>
      <w:sz w:val="20"/>
      <w:szCs w:val="20"/>
      <w:u w:val="none"/>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style>
  <w:style w:type="character" w:styleId="WW8Num13z2">
    <w:name w:val="WW8Num13z2"/>
    <w:qFormat/>
    <w:rPr/>
  </w:style>
  <w:style w:type="character" w:styleId="WW8Num13z1">
    <w:name w:val="WW8Num13z1"/>
    <w:qFormat/>
    <w:rPr/>
  </w:style>
  <w:style w:type="character" w:styleId="WW8Num13z0">
    <w:name w:val="WW8Num13z0"/>
    <w:qFormat/>
    <w:rPr>
      <w:rFonts w:ascii="Arial" w:hAnsi="Arial" w:cs="Arial"/>
      <w:b/>
      <w:i w:val="false"/>
      <w:color w:val="000000"/>
      <w:sz w:val="20"/>
      <w:szCs w:val="24"/>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2z3">
    <w:name w:val="WW8Num12z3"/>
    <w:qFormat/>
    <w:rPr/>
  </w:style>
  <w:style w:type="character" w:styleId="WW8Num12z2">
    <w:name w:val="WW8Num12z2"/>
    <w:qFormat/>
    <w:rPr>
      <w:rFonts w:ascii="Arial" w:hAnsi="Arial" w:cs="Arial"/>
      <w:b/>
      <w:i w:val="false"/>
      <w:color w:val="000000"/>
      <w:sz w:val="20"/>
      <w:szCs w:val="24"/>
    </w:rPr>
  </w:style>
  <w:style w:type="character" w:styleId="WW8Num12z1">
    <w:name w:val="WW8Num12z1"/>
    <w:qFormat/>
    <w:rPr>
      <w:rFonts w:ascii="Symbol" w:hAnsi="Symbol" w:cs="Symbol"/>
    </w:rPr>
  </w:style>
  <w:style w:type="character" w:styleId="WW8Num12z0">
    <w:name w:val="WW8Num12z0"/>
    <w:qFormat/>
    <w:rPr>
      <w:rFonts w:ascii="Arial" w:hAnsi="Arial" w:cs="Arial"/>
      <w:b/>
      <w:i w:val="false"/>
      <w:color w:val="000000"/>
      <w:sz w:val="24"/>
      <w:szCs w:val="24"/>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rFonts w:ascii="Arial" w:hAnsi="Arial" w:cs="Arial"/>
      <w:b/>
      <w:i w:val="false"/>
      <w:sz w:val="20"/>
      <w:szCs w:val="24"/>
    </w:rPr>
  </w:style>
  <w:style w:type="character" w:styleId="WW8Num10z1">
    <w:name w:val="WW8Num10z1"/>
    <w:qFormat/>
    <w:rPr>
      <w:b/>
    </w:rPr>
  </w:style>
  <w:style w:type="character" w:styleId="WW8Num10z0">
    <w:name w:val="WW8Num10z0"/>
    <w:qFormat/>
    <w:rPr/>
  </w:style>
  <w:style w:type="character" w:styleId="WW8Num9z0">
    <w:name w:val="WW8Num9z0"/>
    <w:qFormat/>
    <w:rPr>
      <w:rFonts w:eastAsia="Times New Roman"/>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8z3">
    <w:name w:val="WW8Num8z3"/>
    <w:qFormat/>
    <w:rPr/>
  </w:style>
  <w:style w:type="character" w:styleId="WW8Num8z2">
    <w:name w:val="WW8Num8z2"/>
    <w:qFormat/>
    <w:rPr/>
  </w:style>
  <w:style w:type="character" w:styleId="WW8Num8z1">
    <w:name w:val="WW8Num8z1"/>
    <w:qFormat/>
    <w:rPr/>
  </w:style>
  <w:style w:type="character" w:styleId="WW8Num8z0">
    <w:name w:val="WW8Num8z0"/>
    <w:qFormat/>
    <w:rPr>
      <w:b/>
      <w:sz w:val="20"/>
      <w:szCs w:val="20"/>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7z1">
    <w:name w:val="WW8Num7z1"/>
    <w:qFormat/>
    <w:rPr/>
  </w:style>
  <w:style w:type="character" w:styleId="WW8Num7z0">
    <w:name w:val="WW8Num7z0"/>
    <w:qFormat/>
    <w:rPr>
      <w:b/>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6z3">
    <w:name w:val="WW8Num6z3"/>
    <w:qFormat/>
    <w:rPr/>
  </w:style>
  <w:style w:type="character" w:styleId="WW8Num6z2">
    <w:name w:val="WW8Num6z2"/>
    <w:qFormat/>
    <w:rPr/>
  </w:style>
  <w:style w:type="character" w:styleId="WW8Num6z1">
    <w:name w:val="WW8Num6z1"/>
    <w:qFormat/>
    <w:rPr/>
  </w:style>
  <w:style w:type="character" w:styleId="WW8Num5z8">
    <w:name w:val="WW8Num5z8"/>
    <w:qFormat/>
    <w:rPr/>
  </w:style>
  <w:style w:type="character" w:styleId="WW8Num5z7">
    <w:name w:val="WW8Num5z7"/>
    <w:qFormat/>
    <w:rPr/>
  </w:style>
  <w:style w:type="character" w:styleId="WW8Num5z5">
    <w:name w:val="WW8Num5z5"/>
    <w:qFormat/>
    <w:rPr/>
  </w:style>
  <w:style w:type="character" w:styleId="WW8Num5z4">
    <w:name w:val="WW8Num5z4"/>
    <w:qFormat/>
    <w:rPr/>
  </w:style>
  <w:style w:type="character" w:styleId="WW8Num5z3">
    <w:name w:val="WW8Num5z3"/>
    <w:qFormat/>
    <w:rPr/>
  </w:style>
  <w:style w:type="character" w:styleId="WW8Num5z2">
    <w:name w:val="WW8Num5z2"/>
    <w:qFormat/>
    <w:rPr/>
  </w:style>
  <w:style w:type="character" w:styleId="WW8Num5z1">
    <w:name w:val="WW8Num5z1"/>
    <w:qFormat/>
    <w:rPr/>
  </w:style>
  <w:style w:type="character" w:styleId="WW8Num3z8">
    <w:name w:val="WW8Num3z8"/>
    <w:qFormat/>
    <w:rPr/>
  </w:style>
  <w:style w:type="character" w:styleId="WW8Num3z7">
    <w:name w:val="WW8Num3z7"/>
    <w:qFormat/>
    <w:rPr/>
  </w:style>
  <w:style w:type="character" w:styleId="WW8Num3z5">
    <w:name w:val="WW8Num3z5"/>
    <w:qFormat/>
    <w:rPr/>
  </w:style>
  <w:style w:type="character" w:styleId="WW8Num3z4">
    <w:name w:val="WW8Num3z4"/>
    <w:qFormat/>
    <w:rPr/>
  </w:style>
  <w:style w:type="character" w:styleId="WW8Num3z3">
    <w:name w:val="WW8Num3z3"/>
    <w:qFormat/>
    <w:rPr/>
  </w:style>
  <w:style w:type="character" w:styleId="WW8Num3z1">
    <w:name w:val="WW8Num3z1"/>
    <w:qFormat/>
    <w:rPr/>
  </w:style>
  <w:style w:type="character" w:styleId="WW8Num2z8">
    <w:name w:val="WW8Num2z8"/>
    <w:qFormat/>
    <w:rPr/>
  </w:style>
  <w:style w:type="character" w:styleId="WW8Num2z7">
    <w:name w:val="WW8Num2z7"/>
    <w:qFormat/>
    <w:rPr/>
  </w:style>
  <w:style w:type="character" w:styleId="WW8Num2z6">
    <w:name w:val="WW8Num2z6"/>
    <w:qFormat/>
    <w:rPr/>
  </w:style>
  <w:style w:type="character" w:styleId="WW8Num2z5">
    <w:name w:val="WW8Num2z5"/>
    <w:qFormat/>
    <w:rPr/>
  </w:style>
  <w:style w:type="character" w:styleId="WW8Num2z4">
    <w:name w:val="WW8Num2z4"/>
    <w:qFormat/>
    <w:rPr/>
  </w:style>
  <w:style w:type="character" w:styleId="WW8Num2z3">
    <w:name w:val="WW8Num2z3"/>
    <w:qFormat/>
    <w:rPr/>
  </w:style>
  <w:style w:type="character" w:styleId="WW8Num2z2">
    <w:name w:val="WW8Num2z2"/>
    <w:qFormat/>
    <w:rPr/>
  </w:style>
  <w:style w:type="character" w:styleId="WW8Num2z1">
    <w:name w:val="WW8Num2z1"/>
    <w:qFormat/>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WW8Num1z0">
    <w:name w:val="WW8Num1z0"/>
    <w:qFormat/>
    <w:rPr/>
  </w:style>
  <w:style w:type="character" w:styleId="WW8Num5z6">
    <w:name w:val="WW8Num5z6"/>
    <w:qFormat/>
    <w:rPr>
      <w:rFonts w:ascii="Arial" w:hAnsi="Arial" w:cs="Arial"/>
      <w:b/>
      <w:sz w:val="20"/>
      <w:szCs w:val="20"/>
    </w:rPr>
  </w:style>
  <w:style w:type="character" w:styleId="Fontepargpadro2">
    <w:name w:val="Fonte parág. padrão2"/>
    <w:qFormat/>
    <w:rPr/>
  </w:style>
  <w:style w:type="character" w:styleId="WW8Num4z6">
    <w:name w:val="WW8Num4z6"/>
    <w:qFormat/>
    <w:rPr>
      <w:rFonts w:ascii="Arial" w:hAnsi="Arial" w:cs="Arial"/>
      <w:b/>
      <w:sz w:val="20"/>
      <w:szCs w:val="20"/>
    </w:rPr>
  </w:style>
  <w:style w:type="character" w:styleId="WW8Num4z2">
    <w:name w:val="WW8Num4z2"/>
    <w:qFormat/>
    <w:rPr>
      <w:rFonts w:ascii="Verdana" w:hAnsi="Verdana" w:cs="Verdana"/>
      <w:b w:val="false"/>
      <w:bCs w:val="false"/>
      <w:i w:val="false"/>
      <w:iCs w:val="false"/>
      <w:color w:val="000000"/>
    </w:rPr>
  </w:style>
  <w:style w:type="character" w:styleId="WW8Num6z0">
    <w:name w:val="WW8Num6z0"/>
    <w:qFormat/>
    <w:rPr/>
  </w:style>
  <w:style w:type="character" w:styleId="WW8Num3z6">
    <w:name w:val="WW8Num3z6"/>
    <w:qFormat/>
    <w:rPr>
      <w:rFonts w:ascii="Arial" w:hAnsi="Arial" w:cs="Arial"/>
      <w:b/>
      <w:sz w:val="20"/>
      <w:szCs w:val="20"/>
    </w:rPr>
  </w:style>
  <w:style w:type="character" w:styleId="WW8Num3z2">
    <w:name w:val="WW8Num3z2"/>
    <w:qFormat/>
    <w:rPr>
      <w:rFonts w:ascii="Verdana" w:hAnsi="Verdana" w:cs="Verdana"/>
      <w:b w:val="false"/>
      <w:bCs w:val="false"/>
      <w:i w:val="false"/>
      <w:iCs w:val="false"/>
      <w:color w:val="000000"/>
    </w:rPr>
  </w:style>
  <w:style w:type="character" w:styleId="WW8Num5z0">
    <w:name w:val="WW8Num5z0"/>
    <w:qFormat/>
    <w:rPr>
      <w:rFonts w:ascii="Verdana" w:hAnsi="Verdana" w:cs="Verdana"/>
      <w:b/>
      <w:bCs/>
      <w:sz w:val="20"/>
      <w:szCs w:val="20"/>
    </w:rPr>
  </w:style>
  <w:style w:type="character" w:styleId="WW8Num4z1">
    <w:name w:val="WW8Num4z1"/>
    <w:qFormat/>
    <w:rPr>
      <w:rFonts w:ascii="OpenSymbol" w:hAnsi="OpenSymbol" w:cs="OpenSymbol"/>
    </w:rPr>
  </w:style>
  <w:style w:type="character" w:styleId="WW8Num4z0">
    <w:name w:val="WW8Num4z0"/>
    <w:qFormat/>
    <w:rPr>
      <w:rFonts w:ascii="Symbol" w:hAnsi="Symbol" w:cs="OpenSymbol"/>
    </w:rPr>
  </w:style>
  <w:style w:type="character" w:styleId="WW8Num3z0">
    <w:name w:val="WW8Num3z0"/>
    <w:qFormat/>
    <w:rPr/>
  </w:style>
  <w:style w:type="character" w:styleId="WW8Num2z0">
    <w:name w:val="WW8Num2z0"/>
    <w:qFormat/>
    <w:rPr>
      <w:rFonts w:ascii="Verdana" w:hAnsi="Verdana" w:cs="Verdana"/>
      <w:b/>
      <w:bCs/>
      <w:i w:val="false"/>
      <w:iCs w:val="false"/>
      <w:sz w:val="20"/>
      <w:szCs w:val="20"/>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Textodecomentrio">
    <w:name w:val="Texto de comentário"/>
    <w:basedOn w:val="Normal"/>
    <w:qFormat/>
    <w:pPr>
      <w:suppressAutoHyphens w:val="false"/>
    </w:pPr>
    <w:rPr>
      <w:sz w:val="20"/>
      <w:szCs w:val="20"/>
    </w:rPr>
  </w:style>
  <w:style w:type="paragraph" w:styleId="SubTitNN">
    <w:name w:val="SubTitNN"/>
    <w:basedOn w:val="Normal"/>
    <w:qFormat/>
    <w:pPr>
      <w:suppressAutoHyphens w:val="false"/>
      <w:spacing w:lineRule="auto" w:line="276" w:before="240" w:after="120"/>
      <w:jc w:val="both"/>
    </w:pPr>
    <w:rPr>
      <w:rFonts w:ascii="Arial" w:hAnsi="Arial"/>
      <w:b/>
      <w:bCs/>
      <w:iCs/>
      <w:sz w:val="20"/>
      <w:szCs w:val="20"/>
    </w:rPr>
  </w:style>
  <w:style w:type="paragraph" w:styleId="Nvel4">
    <w:name w:val="Nível 4"/>
    <w:qFormat/>
    <w:pPr>
      <w:widowControl/>
      <w:suppressAutoHyphens w:val="false"/>
      <w:bidi w:val="0"/>
      <w:spacing w:lineRule="auto" w:line="276" w:before="120" w:after="120"/>
      <w:ind w:hanging="0" w:left="567"/>
      <w:jc w:val="both"/>
    </w:pPr>
    <w:rPr>
      <w:rFonts w:ascii="Times New Roman" w:hAnsi="Times New Roman" w:eastAsia="Times New Roman" w:cs="Times New Roman"/>
      <w:i w:val="false"/>
      <w:iCs w:val="false"/>
      <w:color w:val="000000"/>
      <w:kern w:val="0"/>
      <w:sz w:val="20"/>
      <w:szCs w:val="20"/>
      <w:lang w:val="pt-BR" w:eastAsia="en-US" w:bidi="ar-SA"/>
    </w:rPr>
  </w:style>
  <w:style w:type="paragraph" w:styleId="Nvel3">
    <w:name w:val="Nível 3"/>
    <w:qFormat/>
    <w:pPr>
      <w:widowControl/>
      <w:suppressAutoHyphens w:val="false"/>
      <w:bidi w:val="0"/>
      <w:spacing w:lineRule="auto" w:line="276" w:before="120" w:after="120"/>
      <w:ind w:hanging="0" w:left="284"/>
      <w:jc w:val="both"/>
    </w:pPr>
    <w:rPr>
      <w:rFonts w:ascii="Arial" w:hAnsi="Arial" w:eastAsia="Times New Roman" w:cs="Times New Roman"/>
      <w:i w:val="false"/>
      <w:iCs w:val="false"/>
      <w:color w:val="000000"/>
      <w:kern w:val="0"/>
      <w:sz w:val="20"/>
      <w:szCs w:val="20"/>
      <w:lang w:val="pt-BR" w:eastAsia="en-US" w:bidi="ar-SA"/>
    </w:rPr>
  </w:style>
  <w:style w:type="paragraph" w:styleId="Nvel3-R">
    <w:name w:val="Nível 3-R"/>
    <w:basedOn w:val="Normal"/>
    <w:qFormat/>
    <w:pPr>
      <w:suppressAutoHyphens w:val="false"/>
      <w:spacing w:lineRule="auto" w:line="276" w:before="120" w:after="120"/>
      <w:ind w:hanging="0" w:left="284"/>
      <w:jc w:val="both"/>
    </w:pPr>
    <w:rPr>
      <w:rFonts w:ascii="Arial" w:hAnsi="Arial" w:eastAsia="Times New Roman"/>
      <w:i/>
      <w:iCs/>
      <w:color w:val="FF0000"/>
      <w:sz w:val="20"/>
      <w:szCs w:val="20"/>
    </w:rPr>
  </w:style>
  <w:style w:type="paragraph" w:styleId="Assuntodocomentrio">
    <w:name w:val="Assunto do comentário"/>
    <w:qFormat/>
    <w:pPr>
      <w:widowControl/>
      <w:suppressAutoHyphens w:val="true"/>
      <w:bidi w:val="0"/>
      <w:spacing w:before="0" w:after="0"/>
      <w:jc w:val="left"/>
    </w:pPr>
    <w:rPr>
      <w:rFonts w:ascii="Times New Roman" w:hAnsi="Times New Roman" w:eastAsia="Segoe UI" w:cs="Times New Roman"/>
      <w:b/>
      <w:bCs/>
      <w:color w:val="auto"/>
      <w:kern w:val="0"/>
      <w:sz w:val="20"/>
      <w:szCs w:val="20"/>
      <w:lang w:val="pt-BR" w:eastAsia="en-US" w:bidi="ar-SA"/>
    </w:rPr>
  </w:style>
  <w:style w:type="paragraph" w:styleId="Textodecomentrio1">
    <w:name w:val="Texto de comentário1"/>
    <w:basedOn w:val="Normal"/>
    <w:qFormat/>
    <w:pPr/>
    <w:rPr>
      <w:sz w:val="20"/>
      <w:szCs w:val="20"/>
    </w:rPr>
  </w:style>
  <w:style w:type="paragraph" w:styleId="Standard">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balo">
    <w:name w:val="Texto de balão"/>
    <w:basedOn w:val="Normal"/>
    <w:qFormat/>
    <w:pPr/>
    <w:rPr>
      <w:rFonts w:ascii="Segoe UI" w:hAnsi="Segoe UI" w:cs="Segoe UI"/>
      <w:sz w:val="18"/>
      <w:szCs w:val="18"/>
    </w:rPr>
  </w:style>
  <w:style w:type="paragraph" w:styleId="WW-Textosimples">
    <w:name w:val="WW-Texto simples"/>
    <w:basedOn w:val="Normal"/>
    <w:qFormat/>
    <w:pPr/>
    <w:rPr>
      <w:rFonts w:ascii="Courier New" w:hAnsi="Courier New" w:cs="Courier New"/>
      <w:sz w:val="20"/>
      <w:szCs w:val="20"/>
    </w:rPr>
  </w:style>
  <w:style w:type="paragraph" w:styleId="Corpo">
    <w:name w:val="Corpo"/>
    <w:qFormat/>
    <w:pPr>
      <w:widowControl/>
      <w:suppressAutoHyphens w:val="true"/>
      <w:bidi w:val="0"/>
      <w:spacing w:before="0" w:after="0"/>
      <w:jc w:val="left"/>
    </w:pPr>
    <w:rPr>
      <w:rFonts w:ascii="Times New Roman" w:hAnsi="Times New Roman" w:eastAsia="Times New Roman" w:cs="Times New Roman"/>
      <w:color w:val="000000"/>
      <w:kern w:val="0"/>
      <w:sz w:val="24"/>
      <w:szCs w:val="20"/>
      <w:lang w:val="pt-BR" w:eastAsia="zh-CN" w:bidi="ar-SA"/>
    </w:rPr>
  </w:style>
  <w:style w:type="paragraph" w:styleId="WW-Corpodetexto3">
    <w:name w:val="WW-Corpo de texto 3"/>
    <w:basedOn w:val="Normal"/>
    <w:qFormat/>
    <w:pPr>
      <w:widowControl w:val="false"/>
      <w:spacing w:lineRule="auto" w:line="360"/>
      <w:jc w:val="both"/>
    </w:pPr>
    <w:rPr>
      <w:rFonts w:ascii="Arial" w:hAnsi="Arial" w:eastAsia="Lucida Sans Unicode"/>
      <w:color w:val="000000"/>
      <w:lang w:val="pt-PT"/>
    </w:rPr>
  </w:style>
  <w:style w:type="paragraph" w:styleId="PargrafodaLista">
    <w:name w:val="Parágrafo da Lista"/>
    <w:basedOn w:val="Normal"/>
    <w:qFormat/>
    <w:pPr>
      <w:spacing w:before="0" w:after="0"/>
      <w:ind w:hanging="0" w:left="720"/>
      <w:contextualSpacing/>
    </w:pPr>
    <w:rPr/>
  </w:style>
  <w:style w:type="paragraph" w:styleId="Corpodetexto31">
    <w:name w:val="Corpo de texto 31"/>
    <w:basedOn w:val="Normal"/>
    <w:qFormat/>
    <w:pPr>
      <w:spacing w:before="0" w:after="120"/>
    </w:pPr>
    <w:rPr>
      <w:sz w:val="16"/>
      <w:szCs w:val="16"/>
    </w:rPr>
  </w:style>
  <w:style w:type="paragraph" w:styleId="Estilo">
    <w:name w:val="Estilo"/>
    <w:qFormat/>
    <w:pPr>
      <w:widowControl w:val="false"/>
      <w:suppressAutoHyphens w:val="true"/>
      <w:bidi w:val="0"/>
      <w:spacing w:before="0" w:after="0"/>
      <w:jc w:val="left"/>
    </w:pPr>
    <w:rPr>
      <w:rFonts w:ascii="Arial" w:hAnsi="Arial" w:eastAsia="Times New Roman" w:cs="Arial"/>
      <w:color w:val="auto"/>
      <w:kern w:val="0"/>
      <w:sz w:val="24"/>
      <w:szCs w:val="24"/>
      <w:lang w:val="pt-BR" w:eastAsia="zh-CN" w:bidi="ar-SA"/>
    </w:rPr>
  </w:style>
  <w:style w:type="paragraph" w:styleId="WW-Corpodotexto">
    <w:name w:val="WW-Corpo do texto"/>
    <w:basedOn w:val="Normal"/>
    <w:qFormat/>
    <w:pPr>
      <w:spacing w:lineRule="atLeast" w:line="240"/>
      <w:jc w:val="both"/>
      <w:textAlignment w:val="baseline"/>
    </w:pPr>
    <w:rPr>
      <w:szCs w:val="20"/>
      <w:lang w:eastAsia="pt-BR"/>
    </w:rPr>
  </w:style>
  <w:style w:type="paragraph" w:styleId="Ttulo1">
    <w:name w:val="Título1"/>
    <w:basedOn w:val="Normal"/>
    <w:qFormat/>
    <w:pPr>
      <w:keepNext w:val="true"/>
      <w:spacing w:before="240" w:after="120"/>
    </w:pPr>
    <w:rPr>
      <w:rFonts w:ascii="Liberation Sans" w:hAnsi="Liberation Sans" w:eastAsia="Microsoft YaHei" w:cs="Mangal"/>
      <w:sz w:val="28"/>
      <w:szCs w:val="28"/>
    </w:rPr>
  </w:style>
  <w:style w:type="paragraph" w:styleId="Ttulo2">
    <w:name w:val="Título2"/>
    <w:basedOn w:val="Normal"/>
    <w:qFormat/>
    <w:pPr>
      <w:keepNext w:val="true"/>
      <w:spacing w:before="240" w:after="120"/>
    </w:pPr>
    <w:rPr>
      <w:rFonts w:ascii="Liberation Sans" w:hAnsi="Liberation Sans" w:eastAsia="Microsoft YaHei"/>
      <w:sz w:val="28"/>
      <w:szCs w:val="28"/>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3561</TotalTime>
  <Application>LibreOffice/24.2.6.2$Windows_X86_64 LibreOffice_project/ef66aa7e36a1bb8e65bfbc63aba53045a14d0871</Application>
  <AppVersion>15.0000</AppVersion>
  <Pages>16</Pages>
  <Words>8359</Words>
  <Characters>47332</Characters>
  <CharactersWithSpaces>55305</CharactersWithSpaces>
  <Paragraphs>317</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Compras</dc:creator>
  <dc:description/>
  <dc:language>pt-BR</dc:language>
  <cp:lastModifiedBy/>
  <dcterms:modified xsi:type="dcterms:W3CDTF">2025-09-26T12:43:48Z</dcterms:modified>
  <cp:revision>188</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